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/>
          <w:b/>
          <w:color w:val="0081CC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”课“舟求”件“</w:t>
      </w:r>
      <w:r>
        <w:rPr>
          <w:rFonts w:hint="eastAsia" w:ascii="微软雅黑" w:hAnsi="微软雅黑" w:eastAsia="微软雅黑"/>
          <w:b/>
          <w:color w:val="0081CC"/>
          <w:sz w:val="32"/>
        </w:rPr>
        <w:t>——</w:t>
      </w:r>
      <w:r>
        <w:rPr>
          <w:rFonts w:hint="eastAsia" w:ascii="微软雅黑" w:hAnsi="微软雅黑" w:eastAsia="微软雅黑"/>
          <w:b/>
          <w:color w:val="0081CC"/>
          <w:sz w:val="32"/>
          <w:lang w:val="en-US" w:eastAsia="zh-CN"/>
        </w:rPr>
        <w:t>内训课程设计与课件制作工作坊</w:t>
      </w: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课程设计五宗罪：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课程目标假大空：飘渺空洞，课程效果无法评估；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课程结构脏乱差：结构凌乱，学员大脑负担沉重；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课程内容打砸抢：生搬硬套，没有核心知识输出；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课程活动矮穷挫：陈旧生硬，课程氛围沉闷无趣；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课件设计假丑恶：混乱失调，信息呈现毫无逻辑。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以上五宗罪是内训师进行课程设计与开发的通病，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低效甚至无效的课程会极大地造成组织培训资源的浪费，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甚至大大影响学员的学习积极性，阻碍学习型组织建设！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本课程基于工作坊的设计逻辑，以</w:t>
      </w:r>
      <w:r>
        <w:rPr>
          <w:rFonts w:hint="eastAsia" w:ascii="微软雅黑" w:hAnsi="微软雅黑" w:eastAsia="微软雅黑"/>
          <w:b/>
          <w:bCs/>
        </w:rPr>
        <w:t>内训任务</w:t>
      </w:r>
      <w:r>
        <w:rPr>
          <w:rFonts w:hint="eastAsia" w:ascii="微软雅黑" w:hAnsi="微软雅黑" w:eastAsia="微软雅黑"/>
        </w:rPr>
        <w:t>为导向，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教练结合，</w:t>
      </w:r>
      <w:r>
        <w:rPr>
          <w:rFonts w:hint="eastAsia" w:ascii="微软雅黑" w:hAnsi="微软雅黑" w:eastAsia="微软雅黑"/>
          <w:lang w:val="en-US" w:eastAsia="zh-CN"/>
        </w:rPr>
        <w:t>工具引导，</w:t>
      </w:r>
      <w:r>
        <w:rPr>
          <w:rFonts w:hint="eastAsia" w:ascii="微软雅黑" w:hAnsi="微软雅黑" w:eastAsia="微软雅黑"/>
        </w:rPr>
        <w:t>手把手带领内训师完成</w:t>
      </w:r>
      <w:r>
        <w:rPr>
          <w:rFonts w:hint="eastAsia" w:ascii="微软雅黑" w:hAnsi="微软雅黑" w:eastAsia="微软雅黑"/>
          <w:b/>
          <w:bCs/>
        </w:rPr>
        <w:t>课程开发</w:t>
      </w:r>
      <w:r>
        <w:rPr>
          <w:rFonts w:hint="eastAsia" w:ascii="微软雅黑" w:hAnsi="微软雅黑" w:eastAsia="微软雅黑"/>
        </w:rPr>
        <w:t>、</w:t>
      </w:r>
      <w:r>
        <w:rPr>
          <w:rFonts w:hint="eastAsia" w:ascii="微软雅黑" w:hAnsi="微软雅黑" w:eastAsia="微软雅黑"/>
          <w:b/>
          <w:bCs/>
        </w:rPr>
        <w:t>课件制作</w:t>
      </w:r>
      <w:r>
        <w:rPr>
          <w:rFonts w:hint="eastAsia" w:ascii="微软雅黑" w:hAnsi="微软雅黑" w:eastAsia="微软雅黑"/>
        </w:rPr>
        <w:t>，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打通</w:t>
      </w:r>
      <w:r>
        <w:rPr>
          <w:rFonts w:hint="eastAsia" w:ascii="微软雅黑" w:hAnsi="微软雅黑" w:eastAsia="微软雅黑"/>
          <w:lang w:val="en-US" w:eastAsia="zh-CN"/>
        </w:rPr>
        <w:t>课程开发与设计的</w:t>
      </w:r>
      <w:r>
        <w:rPr>
          <w:rFonts w:hint="eastAsia" w:ascii="微软雅黑" w:hAnsi="微软雅黑" w:eastAsia="微软雅黑"/>
        </w:rPr>
        <w:t>关键节点，让内训师</w:t>
      </w:r>
      <w:r>
        <w:rPr>
          <w:rFonts w:hint="eastAsia" w:ascii="微软雅黑" w:hAnsi="微软雅黑" w:eastAsia="微软雅黑"/>
          <w:lang w:val="en-US" w:eastAsia="zh-CN"/>
        </w:rPr>
        <w:t>能够开发出真正有价值的课程</w:t>
      </w:r>
      <w:r>
        <w:rPr>
          <w:rFonts w:hint="eastAsia" w:ascii="微软雅黑" w:hAnsi="微软雅黑" w:eastAsia="微软雅黑"/>
        </w:rPr>
        <w:t>！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准确辨别</w:t>
      </w:r>
      <w:r>
        <w:rPr>
          <w:rFonts w:hint="eastAsia" w:ascii="微软雅黑" w:hAnsi="微软雅黑" w:eastAsia="微软雅黑"/>
          <w:lang w:val="en-US" w:eastAsia="zh-CN"/>
        </w:rPr>
        <w:t>ASK三类培训内容类型，并匹配对应的练习方式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</w:t>
      </w:r>
      <w:r>
        <w:rPr>
          <w:rFonts w:hint="default" w:ascii="微软雅黑" w:hAnsi="微软雅黑" w:eastAsia="微软雅黑"/>
          <w:lang w:val="en-US" w:eastAsia="zh-CN"/>
        </w:rPr>
        <w:t>”</w:t>
      </w:r>
      <w:r>
        <w:rPr>
          <w:rFonts w:hint="eastAsia" w:ascii="微软雅黑" w:hAnsi="微软雅黑" w:eastAsia="微软雅黑"/>
          <w:lang w:val="en-US" w:eastAsia="zh-CN"/>
        </w:rPr>
        <w:t>ABCD</w:t>
      </w:r>
      <w:bookmarkStart w:id="0" w:name="_GoBack"/>
      <w:bookmarkEnd w:id="0"/>
      <w:r>
        <w:rPr>
          <w:rFonts w:hint="eastAsia" w:ascii="微软雅黑" w:hAnsi="微软雅黑" w:eastAsia="微软雅黑"/>
          <w:lang w:val="en-US" w:eastAsia="zh-CN"/>
        </w:rPr>
        <w:t>“法设计所开发课程的学习目标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在《5W2H培训需求分析表》和《课程</w:t>
      </w:r>
      <w:r>
        <w:rPr>
          <w:rFonts w:hint="eastAsia" w:ascii="微软雅黑" w:hAnsi="微软雅黑" w:eastAsia="微软雅黑"/>
          <w:lang w:val="en-US" w:eastAsia="zh-CN"/>
        </w:rPr>
        <w:t>设计</w:t>
      </w:r>
      <w:r>
        <w:rPr>
          <w:rFonts w:hint="eastAsia" w:ascii="微软雅黑" w:hAnsi="微软雅黑" w:eastAsia="微软雅黑"/>
        </w:rPr>
        <w:t>表》的辅助下</w:t>
      </w:r>
      <w:r>
        <w:rPr>
          <w:rFonts w:hint="eastAsia" w:ascii="微软雅黑" w:hAnsi="微软雅黑" w:eastAsia="微软雅黑"/>
          <w:lang w:val="en-US" w:eastAsia="zh-CN"/>
        </w:rPr>
        <w:t>设计</w:t>
      </w:r>
      <w:r>
        <w:rPr>
          <w:rFonts w:hint="eastAsia" w:ascii="微软雅黑" w:hAnsi="微软雅黑" w:eastAsia="微软雅黑"/>
        </w:rPr>
        <w:t>标准培训课程大纲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default" w:ascii="微软雅黑" w:hAnsi="微软雅黑" w:eastAsia="微软雅黑"/>
          <w:lang w:val="en-US" w:eastAsia="zh-CN"/>
        </w:rPr>
        <w:t>”</w:t>
      </w:r>
      <w:r>
        <w:rPr>
          <w:rFonts w:hint="eastAsia" w:ascii="微软雅黑" w:hAnsi="微软雅黑" w:eastAsia="微软雅黑"/>
          <w:lang w:val="en-US" w:eastAsia="zh-CN"/>
        </w:rPr>
        <w:t>百宝箱”工具的辅助下，完成</w:t>
      </w:r>
      <w:r>
        <w:rPr>
          <w:rFonts w:hint="eastAsia" w:ascii="微软雅黑" w:hAnsi="微软雅黑" w:eastAsia="微软雅黑"/>
        </w:rPr>
        <w:t>开场、收官及教学活动设计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</w:t>
      </w:r>
      <w:r>
        <w:rPr>
          <w:rFonts w:hint="eastAsia" w:ascii="微软雅黑" w:hAnsi="微软雅黑" w:eastAsia="微软雅黑"/>
          <w:lang w:val="en-US" w:eastAsia="zh-CN"/>
        </w:rPr>
        <w:t>提供的</w:t>
      </w:r>
      <w:r>
        <w:rPr>
          <w:rFonts w:hint="eastAsia" w:ascii="微软雅黑" w:hAnsi="微软雅黑" w:eastAsia="微软雅黑"/>
        </w:rPr>
        <w:t>定制化</w:t>
      </w:r>
      <w:r>
        <w:rPr>
          <w:rFonts w:hint="eastAsia" w:ascii="微软雅黑" w:hAnsi="微软雅黑" w:eastAsia="微软雅黑"/>
          <w:lang w:val="en-US" w:eastAsia="zh-CN"/>
        </w:rPr>
        <w:t>PPT</w:t>
      </w:r>
      <w:r>
        <w:rPr>
          <w:rFonts w:hint="eastAsia" w:ascii="微软雅黑" w:hAnsi="微软雅黑" w:eastAsia="微软雅黑"/>
        </w:rPr>
        <w:t>模板进行</w:t>
      </w:r>
      <w:r>
        <w:rPr>
          <w:rFonts w:hint="eastAsia" w:ascii="微软雅黑" w:hAnsi="微软雅黑" w:eastAsia="微软雅黑"/>
          <w:lang w:val="en-US" w:eastAsia="zh-CN"/>
        </w:rPr>
        <w:t>目标课程的</w:t>
      </w:r>
      <w:r>
        <w:rPr>
          <w:rFonts w:hint="eastAsia" w:ascii="微软雅黑" w:hAnsi="微软雅黑" w:eastAsia="微软雅黑"/>
        </w:rPr>
        <w:t>培训</w:t>
      </w:r>
      <w:r>
        <w:rPr>
          <w:rFonts w:hint="eastAsia" w:ascii="微软雅黑" w:hAnsi="微软雅黑" w:eastAsia="微软雅黑"/>
          <w:lang w:val="en-US" w:eastAsia="zh-CN"/>
        </w:rPr>
        <w:t>课件</w:t>
      </w:r>
      <w:r>
        <w:rPr>
          <w:rFonts w:hint="eastAsia" w:ascii="微软雅黑" w:hAnsi="微软雅黑" w:eastAsia="微软雅黑"/>
        </w:rPr>
        <w:t>制作</w:t>
      </w:r>
    </w:p>
    <w:p>
      <w:pPr>
        <w:numPr>
          <w:ilvl w:val="0"/>
          <w:numId w:val="1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运用</w:t>
      </w:r>
      <w:r>
        <w:rPr>
          <w:rFonts w:hint="eastAsia" w:ascii="微软雅黑" w:hAnsi="微软雅黑" w:eastAsia="微软雅黑"/>
          <w:lang w:val="en-US" w:eastAsia="zh-CN"/>
        </w:rPr>
        <w:t>课程提供的工具表单及PPT模板，</w:t>
      </w:r>
      <w:r>
        <w:rPr>
          <w:rFonts w:hint="eastAsia" w:ascii="微软雅黑" w:hAnsi="微软雅黑" w:eastAsia="微软雅黑"/>
        </w:rPr>
        <w:t>完成</w:t>
      </w: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>分钟微型面授课程设计与模拟训练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从而提升学员的培训力及影响力，促进学员绩效提升及职业发展；推动组织经验沉淀和人才发展，打造高效学习型组织。</w:t>
      </w:r>
    </w:p>
    <w:p>
      <w:pPr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输出成果</w:t>
      </w:r>
      <w:r>
        <w:rPr>
          <w:rFonts w:hint="eastAsia" w:ascii="微软雅黑" w:hAnsi="微软雅黑" w:eastAsia="微软雅黑"/>
          <w:lang w:val="en-US" w:eastAsia="zh-CN"/>
        </w:rPr>
        <w:t>：课程以工作坊的形式，课前让学员选择本次开发的课题，以课题为抓手进行课程学习及训练，实现任务驱动。项目结束后，学员输出课程大纲、讲师版培训课件、授课参考文件、考核材料。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：基于标准课程开发流程，匹配《5W2H培训需求分析表》《课程研发表》《</w:t>
      </w:r>
      <w:r>
        <w:rPr>
          <w:rFonts w:hint="eastAsia" w:ascii="微软雅黑" w:hAnsi="微软雅黑" w:eastAsia="微软雅黑"/>
          <w:lang w:val="en-US" w:eastAsia="zh-CN"/>
        </w:rPr>
        <w:t>培训百宝箱》等工具</w:t>
      </w:r>
      <w:r>
        <w:rPr>
          <w:rFonts w:hint="eastAsia" w:ascii="微软雅黑" w:hAnsi="微软雅黑" w:eastAsia="微软雅黑"/>
          <w:lang w:eastAsia="zh-CN"/>
        </w:rPr>
        <w:t>，有效辅助学员进行课程设计，更可直接应用于未来的课程开发，让课程设计有”表“可循。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：”</w:t>
      </w:r>
      <w:r>
        <w:rPr>
          <w:rFonts w:hint="eastAsia" w:ascii="微软雅黑" w:hAnsi="微软雅黑" w:eastAsia="微软雅黑"/>
          <w:lang w:val="en-US" w:eastAsia="zh-CN"/>
        </w:rPr>
        <w:t>一步一练，现炒现卖“</w:t>
      </w:r>
      <w:r>
        <w:rPr>
          <w:rFonts w:hint="eastAsia" w:ascii="微软雅黑" w:hAnsi="微软雅黑" w:eastAsia="微软雅黑"/>
          <w:lang w:eastAsia="zh-CN"/>
        </w:rPr>
        <w:t>，打造强交互的沉浸式课堂体验，帮助学员在实操中理解、吸收和应用。设置主题分享考核，还原实际内训场景，强化内容落地，亦可对课程输出成果进行验证及评估。</w:t>
      </w:r>
    </w:p>
    <w:p>
      <w:pPr>
        <w:rPr>
          <w:rFonts w:hint="eastAsia" w:ascii="微软雅黑" w:hAnsi="微软雅黑" w:eastAsia="微软雅黑"/>
          <w:lang w:eastAsia="zh-CN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企业新晋内部培训师、</w:t>
      </w:r>
      <w:r>
        <w:rPr>
          <w:rFonts w:hint="eastAsia" w:ascii="微软雅黑" w:hAnsi="微软雅黑" w:eastAsia="微软雅黑"/>
        </w:rPr>
        <w:t>业务专家、管理人员等对</w:t>
      </w:r>
      <w:r>
        <w:rPr>
          <w:rFonts w:hint="eastAsia" w:ascii="微软雅黑" w:hAnsi="微软雅黑" w:eastAsia="微软雅黑"/>
          <w:lang w:val="en-US" w:eastAsia="zh-CN"/>
        </w:rPr>
        <w:t>课程开发</w:t>
      </w:r>
      <w:r>
        <w:rPr>
          <w:rFonts w:hint="eastAsia" w:ascii="微软雅黑" w:hAnsi="微软雅黑" w:eastAsia="微软雅黑"/>
        </w:rPr>
        <w:t>技术有真实需要的人群</w:t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2天1晚，</w:t>
      </w:r>
      <w:r>
        <w:rPr>
          <w:rFonts w:hint="eastAsia" w:ascii="微软雅黑" w:hAnsi="微软雅黑" w:eastAsia="微软雅黑"/>
        </w:rPr>
        <w:t>每天标准课时6小时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ind w:firstLine="420" w:firstLineChars="200"/>
        <w:rPr>
          <w:rFonts w:hint="eastAsia" w:ascii="微软雅黑" w:hAnsi="微软雅黑" w:eastAsia="微软雅黑"/>
          <w:color w:val="0080CC"/>
        </w:rPr>
      </w:pPr>
      <w:r>
        <w:rPr>
          <w:color w:val="0080CC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146050</wp:posOffset>
                </wp:positionV>
                <wp:extent cx="129540" cy="101600"/>
                <wp:effectExtent l="0" t="0" r="3810" b="12700"/>
                <wp:wrapNone/>
                <wp:docPr id="1" name="五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26795" y="1473835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2.5pt;margin-top:11.5pt;height:8pt;width:10.2pt;z-index:251659264;v-text-anchor:middle;mso-width-relative:page;mso-height-relative:page;" fillcolor="#558ED5 [1951]" filled="t" stroked="f" coordsize="21600,21600" o:gfxdata="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R6aQt2AAAAAYB&#10;AAAPAAAAAAAAAAEAIAAAACIAAABkcnMvZG93bnJldi54bWxQSwECFAAUAAAACACHTuJAhQ6GqI0C&#10;AAAABQAADgAAAAAAAAABACAAAAAnAQAAZHJzL2Uyb0RvYy54bWxQSwUGAAAAAAYABgBZAQAAJgYA&#10;AAAA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  <w:color w:val="0080CC"/>
        </w:rPr>
        <w:t xml:space="preserve">第一天 </w:t>
      </w:r>
    </w:p>
    <w:p>
      <w:pPr>
        <w:rPr>
          <w:rFonts w:hint="eastAsia" w:ascii="微软雅黑" w:hAnsi="微软雅黑" w:eastAsia="微软雅黑"/>
          <w:color w:val="0080CC"/>
        </w:rPr>
      </w:pPr>
      <w:r>
        <w:rPr>
          <w:rFonts w:hint="eastAsia" w:ascii="微软雅黑" w:hAnsi="微软雅黑" w:eastAsia="微软雅黑"/>
          <w:color w:val="0080CC"/>
        </w:rPr>
        <w:t>《小步快跑：敏捷型课程设计》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</w:rPr>
        <w:t>破冰游戏</w:t>
      </w:r>
      <w:r>
        <w:rPr>
          <w:rFonts w:hint="eastAsia" w:ascii="微软雅黑" w:hAnsi="微软雅黑" w:eastAsia="微软雅黑"/>
        </w:rPr>
        <w:t>：师出有“名”</w:t>
      </w:r>
      <w:r>
        <w:rPr>
          <w:rFonts w:hint="eastAsia" w:ascii="微软雅黑" w:hAnsi="微软雅黑" w:eastAsia="微软雅黑"/>
          <w:lang w:val="en-US" w:eastAsia="zh-CN"/>
        </w:rPr>
        <w:t xml:space="preserve">        </w:t>
      </w:r>
    </w:p>
    <w:p>
      <w:pPr>
        <w:numPr>
          <w:ilvl w:val="0"/>
          <w:numId w:val="2"/>
        </w:num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追根溯源 — 培训需求分析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 企业内训的本质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1.1.1 基于内训场景的培训成本分析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1.1.2 基于战略达成的培训价值分析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 培训需求的分析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1.2.1 常用的4种培训需求分析方法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1.2.2 5W2H培训需求分析法的应用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：使用培训需求访谈表，两两搭配进行需求访谈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：在《5W2H培训需求分析画布》中确定学员的能力差距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：在《课程研发表中》确定开发课题、培训对象、培训时长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 培训内容的分类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1.3.1  A-</w:t>
      </w:r>
      <w:r>
        <w:rPr>
          <w:rFonts w:hint="eastAsia" w:ascii="微软雅黑" w:hAnsi="微软雅黑" w:eastAsia="微软雅黑"/>
          <w:lang w:val="en-US" w:eastAsia="zh-CN"/>
        </w:rPr>
        <w:t>心态</w:t>
      </w:r>
      <w:r>
        <w:rPr>
          <w:rFonts w:hint="eastAsia" w:ascii="微软雅黑" w:hAnsi="微软雅黑" w:eastAsia="微软雅黑"/>
        </w:rPr>
        <w:t>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1.3.2  S-</w:t>
      </w:r>
      <w:r>
        <w:rPr>
          <w:rFonts w:hint="eastAsia" w:ascii="微软雅黑" w:hAnsi="微软雅黑" w:eastAsia="微软雅黑"/>
          <w:lang w:val="en-US" w:eastAsia="zh-CN"/>
        </w:rPr>
        <w:t>技能</w:t>
      </w:r>
      <w:r>
        <w:rPr>
          <w:rFonts w:hint="eastAsia" w:ascii="微软雅黑" w:hAnsi="微软雅黑" w:eastAsia="微软雅黑"/>
        </w:rPr>
        <w:t>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1.3.3  K-</w:t>
      </w:r>
      <w:r>
        <w:rPr>
          <w:rFonts w:hint="eastAsia" w:ascii="微软雅黑" w:hAnsi="微软雅黑" w:eastAsia="微软雅黑"/>
          <w:lang w:val="en-US" w:eastAsia="zh-CN"/>
        </w:rPr>
        <w:t>知识</w:t>
      </w:r>
      <w:r>
        <w:rPr>
          <w:rFonts w:hint="eastAsia" w:ascii="微软雅黑" w:hAnsi="微软雅黑" w:eastAsia="微软雅黑"/>
        </w:rPr>
        <w:t>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：在《课程研发表》中勾选本次课题的内容类型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 培训目标设计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1.4.1 设计培训目标的SMART原则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1.4.2 学习目标设计公式：ABCD法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 ASK三类内容的培训目标设计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：在《5W2H培训需求分析画布》中设计培训期望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：在《课程研发表》中确定培训目标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内容为王 — 课程内容填充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2.1 培训内容的选择依据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2.1.1 培训内容与培训需求的关系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2.1.2 培训内容选择中的常见误区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：在《5W2H培训需求分析画布》中设计培训内容</w:t>
      </w:r>
      <w:r>
        <w:rPr>
          <w:rFonts w:hint="eastAsia" w:ascii="微软雅黑" w:hAnsi="微软雅黑" w:eastAsia="微软雅黑"/>
          <w:lang w:val="en-US" w:eastAsia="zh-CN"/>
        </w:rPr>
        <w:t>要点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 内容组织的四种结构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2.2.1 要素式结构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2.2.2 流程式结构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2.2.3 空间式结构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2.2.4 3W式结构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：使用对应的结构类型，在《课程研发表》中设计课程一级大纲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 获取内容的三个渠道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2.3.1 资料收集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2.3.2 线上获取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2.3.3 实践工作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：使用“三个渠道，六个步骤”在《课程研发表》中设计课程内容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 xml:space="preserve"> 辅助教学的</w:t>
      </w:r>
      <w:r>
        <w:rPr>
          <w:rFonts w:hint="eastAsia" w:ascii="微软雅黑" w:hAnsi="微软雅黑" w:eastAsia="微软雅黑"/>
          <w:lang w:val="en-US" w:eastAsia="zh-CN"/>
        </w:rPr>
        <w:t>五</w:t>
      </w:r>
      <w:r>
        <w:rPr>
          <w:rFonts w:hint="eastAsia" w:ascii="微软雅黑" w:hAnsi="微软雅黑" w:eastAsia="微软雅黑"/>
        </w:rPr>
        <w:t>大材料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 故事演绎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 案例分析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2.4.3 数据佐证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 xml:space="preserve"> 音频视频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5</w:t>
      </w:r>
      <w:r>
        <w:rPr>
          <w:rFonts w:hint="eastAsia" w:ascii="微软雅黑" w:hAnsi="微软雅黑" w:eastAsia="微软雅黑"/>
        </w:rPr>
        <w:t xml:space="preserve"> 演示说明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在百宝箱中选择并</w:t>
      </w:r>
      <w:r>
        <w:rPr>
          <w:rFonts w:hint="eastAsia" w:ascii="微软雅黑" w:hAnsi="微软雅黑" w:eastAsia="微软雅黑"/>
        </w:rPr>
        <w:t>设计课程内容的辅助教学材料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支梁立柱 — 课程结构设计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3.1 课程总体结构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3.1.1 标准培训课程总体框架全景图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3.1.2 总体结构各要素的意义及作用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 课程框架设计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3.2.1 课件封面各要素及其作用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3.2.2 三类内容课程的课题设计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在”百宝箱“中选择一种课题方式并</w:t>
      </w:r>
      <w:r>
        <w:rPr>
          <w:rFonts w:hint="eastAsia" w:ascii="微软雅黑" w:hAnsi="微软雅黑" w:eastAsia="微软雅黑"/>
        </w:rPr>
        <w:t>设计封面要素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3.2.3 三种常用的师资介绍设计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在”百宝箱“中选择一种师资介绍方式并</w:t>
      </w:r>
      <w:r>
        <w:rPr>
          <w:rFonts w:hint="eastAsia" w:ascii="微软雅黑" w:hAnsi="微软雅黑" w:eastAsia="微软雅黑"/>
        </w:rPr>
        <w:t>设计</w:t>
      </w:r>
      <w:r>
        <w:rPr>
          <w:rFonts w:hint="eastAsia" w:ascii="微软雅黑" w:hAnsi="微软雅黑" w:eastAsia="微软雅黑"/>
          <w:lang w:val="en-US" w:eastAsia="zh-CN"/>
        </w:rPr>
        <w:t>讲师</w:t>
      </w:r>
      <w:r>
        <w:rPr>
          <w:rFonts w:hint="eastAsia" w:ascii="微软雅黑" w:hAnsi="微软雅黑" w:eastAsia="微软雅黑"/>
        </w:rPr>
        <w:t>师资介绍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3.2.4 五种常用的课程导入设计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在”百宝箱“中选择一种导入方式并</w:t>
      </w:r>
      <w:r>
        <w:rPr>
          <w:rFonts w:hint="eastAsia" w:ascii="微软雅黑" w:hAnsi="微软雅黑" w:eastAsia="微软雅黑"/>
        </w:rPr>
        <w:t>设计课程导入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3.2.5 </w:t>
      </w:r>
      <w:r>
        <w:rPr>
          <w:rFonts w:hint="eastAsia" w:ascii="微软雅黑" w:hAnsi="微软雅黑" w:eastAsia="微软雅黑"/>
          <w:lang w:val="en-US" w:eastAsia="zh-CN"/>
        </w:rPr>
        <w:t>五</w:t>
      </w:r>
      <w:r>
        <w:rPr>
          <w:rFonts w:hint="eastAsia" w:ascii="微软雅黑" w:hAnsi="微软雅黑" w:eastAsia="微软雅黑"/>
        </w:rPr>
        <w:t>种常用的课程理性总结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在”百宝箱“中选择一种总结方式并</w:t>
      </w:r>
      <w:r>
        <w:rPr>
          <w:rFonts w:hint="eastAsia" w:ascii="微软雅黑" w:hAnsi="微软雅黑" w:eastAsia="微软雅黑"/>
        </w:rPr>
        <w:t>设计</w:t>
      </w:r>
      <w:r>
        <w:rPr>
          <w:rFonts w:hint="eastAsia" w:ascii="微软雅黑" w:hAnsi="微软雅黑" w:eastAsia="微软雅黑"/>
          <w:lang w:val="en-US" w:eastAsia="zh-CN"/>
        </w:rPr>
        <w:t>课程</w:t>
      </w:r>
      <w:r>
        <w:rPr>
          <w:rFonts w:hint="eastAsia" w:ascii="微软雅黑" w:hAnsi="微软雅黑" w:eastAsia="微软雅黑"/>
        </w:rPr>
        <w:t>理性总结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3.2.6 四种常用的课程感性升华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在”百宝箱“中选择一种升华方式并</w:t>
      </w:r>
      <w:r>
        <w:rPr>
          <w:rFonts w:hint="eastAsia" w:ascii="微软雅黑" w:hAnsi="微软雅黑" w:eastAsia="微软雅黑"/>
        </w:rPr>
        <w:t>设计</w:t>
      </w:r>
      <w:r>
        <w:rPr>
          <w:rFonts w:hint="eastAsia" w:ascii="微软雅黑" w:hAnsi="微软雅黑" w:eastAsia="微软雅黑"/>
          <w:lang w:val="en-US" w:eastAsia="zh-CN"/>
        </w:rPr>
        <w:t>课程</w:t>
      </w:r>
      <w:r>
        <w:rPr>
          <w:rFonts w:hint="eastAsia" w:ascii="微软雅黑" w:hAnsi="微软雅黑" w:eastAsia="微软雅黑"/>
        </w:rPr>
        <w:t>感性升华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天衣无缝 — 内训课的标准流程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4.1 三链高效开场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4.1.1 学员与学员链接的4种方式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4.1.2 学员与讲师链接的2种方式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4.1.2 学员与课程链接的5种方式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在百宝箱中选择并设计你的培训开场环节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4.2 四步精彩授课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4.2.1 四步教学活动在知识型内容的应用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4.2.2 四步教学活动在心态型内容的应用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4.2.3 四步教学活动在技能型内容的应用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：在《课程研发表》中设计指定章节的四步教学活动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4.3 </w:t>
      </w:r>
      <w:r>
        <w:rPr>
          <w:rFonts w:hint="eastAsia" w:ascii="微软雅黑" w:hAnsi="微软雅黑" w:eastAsia="微软雅黑"/>
          <w:lang w:val="en-US" w:eastAsia="zh-CN"/>
        </w:rPr>
        <w:t>三步</w:t>
      </w:r>
      <w:r>
        <w:rPr>
          <w:rFonts w:hint="eastAsia" w:ascii="微软雅黑" w:hAnsi="微软雅黑" w:eastAsia="微软雅黑"/>
        </w:rPr>
        <w:t>完美收官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4.3.1 理性总结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4.3.2 学习迁移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4.3.</w:t>
      </w: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 感性升华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在百宝箱中选择并设计你的培训收场环节</w:t>
      </w:r>
    </w:p>
    <w:p>
      <w:pPr>
        <w:rPr>
          <w:rFonts w:hint="eastAsia" w:ascii="微软雅黑" w:hAnsi="微软雅黑" w:eastAsia="微软雅黑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149225</wp:posOffset>
                </wp:positionV>
                <wp:extent cx="129540" cy="101600"/>
                <wp:effectExtent l="0" t="0" r="3810" b="12700"/>
                <wp:wrapNone/>
                <wp:docPr id="2" name="五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2.5pt;margin-top:11.75pt;height:8pt;width:10.2pt;z-index:251660288;v-text-anchor:middle;mso-width-relative:page;mso-height-relative:page;" fillcolor="#558ED5 [1951]" filled="t" stroked="f" coordsize="21600,21600" o:gfxdata="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BICpU2AAAAAYBAAAPAAAAAAAAAAEA&#10;IAAAACIAAABkcnMvZG93bnJldi54bWxQSwECFAAUAAAACACHTuJAfatOCIECAAD0BAAADgAAAAAA&#10;AAABACAAAAAnAQAAZHJzL2Uyb0RvYy54bWxQSwUGAAAAAAYABgBZAQAAGgYAAAAA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</w:rPr>
        <w:t xml:space="preserve">    </w:t>
      </w:r>
      <w:r>
        <w:rPr>
          <w:rFonts w:hint="eastAsia" w:ascii="微软雅黑" w:hAnsi="微软雅黑" w:eastAsia="微软雅黑"/>
          <w:color w:val="0080CC"/>
        </w:rPr>
        <w:t xml:space="preserve"> 第一天 晚上  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课程大纲辅导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hint="eastAsia" w:ascii="微软雅黑" w:hAnsi="微软雅黑" w:eastAsia="微软雅黑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149225</wp:posOffset>
                </wp:positionV>
                <wp:extent cx="129540" cy="101600"/>
                <wp:effectExtent l="0" t="0" r="3810" b="12700"/>
                <wp:wrapNone/>
                <wp:docPr id="5" name="五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2.5pt;margin-top:11.75pt;height:8pt;width:10.2pt;z-index:251661312;v-text-anchor:middle;mso-width-relative:page;mso-height-relative:page;" fillcolor="#558ED5 [1951]" filled="t" stroked="f" coordsize="21600,21600" o:gfxdata="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BICpU2AAAAAYBAAAPAAAAAAAAAAEA&#10;IAAAACIAAABkcnMvZG93bnJldi54bWxQSwECFAAUAAAACACHTuJAr8quEoECAAD0BAAADgAAAAAA&#10;AAABACAAAAAnAQAAZHJzL2Uyb0RvYy54bWxQSwUGAAAAAAYABgBZAQAAGgYAAAAA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</w:rPr>
        <w:t xml:space="preserve">    </w:t>
      </w:r>
      <w:r>
        <w:rPr>
          <w:rFonts w:hint="eastAsia" w:ascii="微软雅黑" w:hAnsi="微软雅黑" w:eastAsia="微软雅黑"/>
          <w:color w:val="0080CC"/>
        </w:rPr>
        <w:t xml:space="preserve"> 第</w:t>
      </w:r>
      <w:r>
        <w:rPr>
          <w:rFonts w:hint="eastAsia" w:ascii="微软雅黑" w:hAnsi="微软雅黑" w:eastAsia="微软雅黑"/>
          <w:color w:val="0080CC"/>
          <w:lang w:val="en-US" w:eastAsia="zh-CN"/>
        </w:rPr>
        <w:t>二</w:t>
      </w:r>
      <w:r>
        <w:rPr>
          <w:rFonts w:hint="eastAsia" w:ascii="微软雅黑" w:hAnsi="微软雅黑" w:eastAsia="微软雅黑"/>
          <w:color w:val="0080CC"/>
        </w:rPr>
        <w:t xml:space="preserve">天 </w:t>
      </w:r>
    </w:p>
    <w:p>
      <w:pPr>
        <w:rPr>
          <w:rFonts w:hint="eastAsia" w:ascii="微软雅黑" w:hAnsi="微软雅黑" w:eastAsia="微软雅黑"/>
          <w:color w:val="0080CC"/>
        </w:rPr>
      </w:pPr>
      <w:r>
        <w:rPr>
          <w:rFonts w:hint="eastAsia" w:ascii="微软雅黑" w:hAnsi="微软雅黑" w:eastAsia="微软雅黑"/>
          <w:color w:val="0080CC"/>
        </w:rPr>
        <w:t>《量体裁衣 — 培训型PPT制作技巧》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</w:rPr>
        <w:t>课前准备</w:t>
      </w:r>
      <w:r>
        <w:rPr>
          <w:rFonts w:hint="eastAsia" w:ascii="微软雅黑" w:hAnsi="微软雅黑" w:eastAsia="微软雅黑"/>
        </w:rPr>
        <w:t>：根据《课程研发表》中的内容大纲，在PPT模板中完成课件1.0版</w:t>
      </w:r>
    </w:p>
    <w:p>
      <w:pPr>
        <w:numPr>
          <w:ilvl w:val="0"/>
          <w:numId w:val="3"/>
        </w:num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悟道</w:t>
      </w:r>
      <w:r>
        <w:rPr>
          <w:rFonts w:hint="eastAsia" w:ascii="微软雅黑" w:hAnsi="微软雅黑" w:eastAsia="微软雅黑"/>
          <w:b/>
          <w:bCs/>
        </w:rPr>
        <w:t xml:space="preserve"> — 培训型PPT设计的原则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1.</w:t>
      </w:r>
      <w:r>
        <w:rPr>
          <w:rFonts w:hint="eastAsia" w:ascii="微软雅黑" w:hAnsi="微软雅黑" w:eastAsia="微软雅黑"/>
          <w:lang w:val="en-US" w:eastAsia="zh-CN"/>
        </w:rPr>
        <w:t>1 利于表达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1.2 </w:t>
      </w:r>
      <w:r>
        <w:rPr>
          <w:rFonts w:hint="eastAsia" w:ascii="微软雅黑" w:hAnsi="微软雅黑" w:eastAsia="微软雅黑"/>
          <w:lang w:val="en-US" w:eastAsia="zh-CN"/>
        </w:rPr>
        <w:t>结构完整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1.3 协调统一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2. 懂法 — 培训型PPT制作的方法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2.1 使用模板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使用定制模板替换培训课件的母版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 选择版式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使用版式新建PPT页面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 编辑内容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在新建的PPT页面上编辑课程内容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3. 习术 — 培训型PPT美化的技巧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 文字的选择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3.1.1 字体的设计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字号的选择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文字的排版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使用PPT美化大师设置课件字体、字号及排版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 图片的应用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图片在PPT中的作用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图片使用的四大原则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 图片常用的四种操作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3.2.4 常用的四个图片网站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为PPT指定页面插入符合课程理念的图片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3.2.5 课件三张大图的设计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使用课堂所学步骤设计PPT封面、封底和过渡页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 色彩的搭配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3.3.1 色彩使用的四个原则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3.3.2 色彩设计的常用操作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3.3.3 底版与字体颜色关系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lang w:val="en-US" w:eastAsia="zh-CN"/>
        </w:rPr>
        <w:t>检查并根据课程要求调整PPT元素的颜色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 动画的设计</w:t>
      </w:r>
    </w:p>
    <w:p>
      <w:pPr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3.4.1 课件动画的三个作用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3.4.2 动画设计的三大原则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3.4.3 动画设计的常用操作</w:t>
      </w:r>
    </w:p>
    <w:p>
      <w:p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练习：</w:t>
      </w:r>
      <w:r>
        <w:rPr>
          <w:rFonts w:hint="eastAsia" w:ascii="微软雅黑" w:hAnsi="微软雅黑" w:eastAsia="微软雅黑"/>
          <w:lang w:val="en-US" w:eastAsia="zh-CN"/>
        </w:rPr>
        <w:t>根据授课计划，为PPT内容页设计动画</w:t>
      </w:r>
    </w:p>
    <w:p>
      <w:pPr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完成PPT剩余页面设计（主体结构及一个完整单元）</w:t>
      </w:r>
    </w:p>
    <w:p>
      <w:pPr>
        <w:rPr>
          <w:rFonts w:hint="eastAsia" w:ascii="微软雅黑" w:hAnsi="微软雅黑" w:eastAsia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沙场点兵 — 学员登台说课展示</w:t>
      </w:r>
    </w:p>
    <w:p>
      <w:pPr>
        <w:numPr>
          <w:ilvl w:val="0"/>
          <w:numId w:val="4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学员说课及点评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结营仪式</w:t>
      </w:r>
    </w:p>
    <w:p>
      <w:pPr>
        <w:rPr>
          <w:rFonts w:hint="eastAsia"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工具：附带表格</w:t>
      </w:r>
    </w:p>
    <w:p>
      <w:pPr>
        <w:numPr>
          <w:ilvl w:val="0"/>
          <w:numId w:val="5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定制化培训型PPT模板</w:t>
      </w:r>
    </w:p>
    <w:p>
      <w:pPr>
        <w:numPr>
          <w:ilvl w:val="0"/>
          <w:numId w:val="5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5W2H培训需求分析表</w:t>
      </w:r>
    </w:p>
    <w:p>
      <w:pPr>
        <w:numPr>
          <w:ilvl w:val="0"/>
          <w:numId w:val="5"/>
        </w:numPr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课程研发表</w:t>
      </w:r>
    </w:p>
    <w:p>
      <w:pPr>
        <w:numPr>
          <w:ilvl w:val="0"/>
          <w:numId w:val="5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课程设计工具百宝箱（数十种培训中常用的活动设计方案）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增值服务（可选）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1.标准培训型PPT模板一份（定制）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 全套培训制度一份（含基础培训制度、讲师管理制度等）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3FDE7"/>
    <w:multiLevelType w:val="singleLevel"/>
    <w:tmpl w:val="8143FDE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D1C1753"/>
    <w:multiLevelType w:val="singleLevel"/>
    <w:tmpl w:val="0D1C175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3DA9A440"/>
    <w:multiLevelType w:val="singleLevel"/>
    <w:tmpl w:val="3DA9A440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3E303A39"/>
    <w:multiLevelType w:val="singleLevel"/>
    <w:tmpl w:val="3E303A39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67E6369"/>
    <w:rsid w:val="2DDB3CA9"/>
    <w:rsid w:val="360B25FA"/>
    <w:rsid w:val="42424F1F"/>
    <w:rsid w:val="546E07AB"/>
    <w:rsid w:val="5F802519"/>
    <w:rsid w:val="610C2831"/>
    <w:rsid w:val="653E2D8C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2490</Words>
  <Characters>2836</Characters>
  <Lines>20</Lines>
  <Paragraphs>5</Paragraphs>
  <TotalTime>2</TotalTime>
  <ScaleCrop>false</ScaleCrop>
  <LinksUpToDate>false</LinksUpToDate>
  <CharactersWithSpaces>2961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2022-09-21T15:32:33Z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009D28A0A5D4477C9946D2F114108A9C</vt:lpwstr>
  </property>
</Properties>
</file>