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ascii="华文细黑" w:hAnsi="华文细黑" w:eastAsia="华文细黑" w:cs="华文细黑"/>
          <w:bCs/>
          <w:color w:val="C00000"/>
          <w:sz w:val="20"/>
          <w:szCs w:val="20"/>
        </w:rPr>
      </w:pPr>
      <w:r>
        <w:rPr>
          <w:rFonts w:hint="eastAsia" w:ascii="华文细黑" w:hAnsi="华文细黑" w:eastAsia="华文细黑" w:cs="华文细黑"/>
          <w:bCs/>
          <w:color w:val="C00000"/>
          <w:sz w:val="20"/>
          <w:szCs w:val="20"/>
        </w:rPr>
        <w:t>交房纠纷与风险管控主题课程</w:t>
      </w:r>
    </w:p>
    <w:p>
      <w:pPr>
        <w:adjustRightInd w:val="0"/>
        <w:snapToGrid w:val="0"/>
        <w:rPr>
          <w:rFonts w:ascii="华文细黑" w:hAnsi="华文细黑" w:eastAsia="华文细黑" w:cs="华文细黑"/>
          <w:bCs/>
          <w:color w:val="C00000"/>
          <w:sz w:val="20"/>
          <w:szCs w:val="20"/>
        </w:rPr>
      </w:pPr>
      <w:bookmarkStart w:id="0" w:name="_Hlk87009322"/>
      <w:r>
        <w:rPr>
          <w:rFonts w:hint="eastAsia" w:ascii="华文细黑" w:hAnsi="华文细黑" w:eastAsia="华文细黑" w:cs="华文细黑"/>
          <w:bCs/>
          <w:color w:val="C00000"/>
          <w:sz w:val="20"/>
          <w:szCs w:val="20"/>
        </w:rPr>
        <w:t>从观念到原则和实践方法的标杆启发与借鉴</w:t>
      </w:r>
      <w:bookmarkEnd w:id="0"/>
    </w:p>
    <w:p>
      <w:pPr>
        <w:adjustRightInd w:val="0"/>
        <w:snapToGrid w:val="0"/>
        <w:rPr>
          <w:rFonts w:hint="eastAsia" w:ascii="华文细黑" w:hAnsi="华文细黑" w:eastAsia="华文细黑" w:cs="华文细黑"/>
          <w:bCs/>
          <w:color w:val="C00000"/>
          <w:sz w:val="20"/>
          <w:szCs w:val="20"/>
        </w:rPr>
      </w:pPr>
      <w:r>
        <w:rPr>
          <w:rFonts w:hint="eastAsia" w:ascii="华文细黑" w:hAnsi="华文细黑" w:eastAsia="华文细黑" w:cs="华文细黑"/>
          <w:bCs/>
          <w:color w:val="C00000"/>
          <w:sz w:val="20"/>
          <w:szCs w:val="20"/>
        </w:rPr>
        <w:t>适合全体地产干部学习</w:t>
      </w:r>
    </w:p>
    <w:p>
      <w:pPr>
        <w:adjustRightInd w:val="0"/>
        <w:snapToGrid w:val="0"/>
        <w:jc w:val="center"/>
        <w:rPr>
          <w:rFonts w:hint="eastAsia" w:ascii="华文细黑" w:hAnsi="华文细黑" w:eastAsia="华文细黑" w:cs="华文细黑"/>
          <w:b/>
          <w:color w:val="C00000"/>
          <w:sz w:val="32"/>
          <w:szCs w:val="32"/>
        </w:rPr>
      </w:pPr>
      <w:r>
        <w:rPr>
          <w:rFonts w:hint="eastAsia" w:ascii="华文细黑" w:hAnsi="华文细黑" w:eastAsia="华文细黑" w:cs="华文细黑"/>
          <w:b/>
          <w:color w:val="C00000"/>
          <w:sz w:val="32"/>
          <w:szCs w:val="32"/>
        </w:rPr>
        <w:t>房企交房纠纷与风险的应对管控解析</w:t>
      </w:r>
    </w:p>
    <w:p>
      <w:pPr>
        <w:adjustRightInd w:val="0"/>
        <w:snapToGrid w:val="0"/>
        <w:jc w:val="center"/>
        <w:rPr>
          <w:rFonts w:hint="eastAsia" w:ascii="华文细黑" w:hAnsi="华文细黑" w:eastAsia="华文细黑" w:cs="华文细黑"/>
          <w:bCs/>
          <w:color w:val="3F3F3F"/>
          <w:sz w:val="22"/>
          <w:szCs w:val="22"/>
        </w:rPr>
      </w:pPr>
      <w:r>
        <w:rPr>
          <w:rFonts w:hint="eastAsia" w:ascii="华文细黑" w:hAnsi="华文细黑" w:eastAsia="华文细黑" w:cs="华文细黑"/>
          <w:bCs/>
          <w:color w:val="3F3F3F"/>
          <w:sz w:val="22"/>
          <w:szCs w:val="22"/>
        </w:rPr>
        <w:t>（1天版2</w:t>
      </w:r>
      <w:r>
        <w:rPr>
          <w:rFonts w:ascii="华文细黑" w:hAnsi="华文细黑" w:eastAsia="华文细黑" w:cs="华文细黑"/>
          <w:bCs/>
          <w:color w:val="3F3F3F"/>
          <w:sz w:val="22"/>
          <w:szCs w:val="22"/>
        </w:rPr>
        <w:t>02</w:t>
      </w:r>
      <w:r>
        <w:rPr>
          <w:rFonts w:hint="eastAsia" w:ascii="华文细黑" w:hAnsi="华文细黑" w:eastAsia="华文细黑" w:cs="华文细黑"/>
          <w:bCs/>
          <w:color w:val="3F3F3F"/>
          <w:sz w:val="22"/>
          <w:szCs w:val="22"/>
          <w:lang w:val="en-US" w:eastAsia="zh-CN"/>
        </w:rPr>
        <w:t>304</w:t>
      </w:r>
      <w:r>
        <w:rPr>
          <w:rFonts w:hint="eastAsia" w:ascii="华文细黑" w:hAnsi="华文细黑" w:eastAsia="华文细黑" w:cs="华文细黑"/>
          <w:bCs/>
          <w:color w:val="3F3F3F"/>
          <w:sz w:val="22"/>
          <w:szCs w:val="22"/>
        </w:rPr>
        <w:t>修订）</w:t>
      </w:r>
    </w:p>
    <w:p>
      <w:pPr>
        <w:numPr>
          <w:ilvl w:val="0"/>
          <w:numId w:val="1"/>
        </w:numPr>
        <w:adjustRightInd w:val="0"/>
        <w:snapToGrid w:val="0"/>
        <w:rPr>
          <w:rFonts w:hint="eastAsia" w:ascii="华文细黑" w:hAnsi="华文细黑" w:eastAsia="华文细黑" w:cs="华文细黑"/>
          <w:b/>
          <w:sz w:val="24"/>
        </w:rPr>
      </w:pPr>
      <w:r>
        <w:rPr>
          <w:rFonts w:hint="eastAsia" w:ascii="华文细黑" w:hAnsi="华文细黑" w:eastAsia="华文细黑" w:cs="华文细黑"/>
          <w:b/>
          <w:sz w:val="24"/>
        </w:rPr>
        <w:t>课程背景</w:t>
      </w:r>
    </w:p>
    <w:p>
      <w:pPr>
        <w:adjustRightInd w:val="0"/>
        <w:snapToGrid w:val="0"/>
        <w:ind w:firstLine="420" w:firstLineChars="200"/>
        <w:rPr>
          <w:rFonts w:hint="eastAsia" w:ascii="华文细黑" w:hAnsi="华文细黑" w:eastAsia="华文细黑" w:cs="华文细黑"/>
          <w:szCs w:val="21"/>
        </w:rPr>
      </w:pPr>
      <w:r>
        <w:rPr>
          <w:rFonts w:hint="eastAsia" w:ascii="华文细黑" w:hAnsi="华文细黑" w:eastAsia="华文细黑" w:cs="华文细黑"/>
          <w:szCs w:val="21"/>
        </w:rPr>
        <w:t>地产调控持续，房企与客户的冲突纠纷呈上升趋势。“交房即维权”成为普遍的社会问题。房企已经意识到：交房不仅牵涉业主满意、项目成败、也影响企业品牌形象，社会安定和谐，必须重点改善。</w:t>
      </w:r>
    </w:p>
    <w:p>
      <w:pPr>
        <w:adjustRightInd w:val="0"/>
        <w:snapToGrid w:val="0"/>
        <w:ind w:firstLine="420" w:firstLineChars="200"/>
        <w:rPr>
          <w:rFonts w:hint="eastAsia" w:ascii="华文细黑" w:hAnsi="华文细黑" w:eastAsia="华文细黑" w:cs="华文细黑"/>
          <w:szCs w:val="21"/>
        </w:rPr>
      </w:pPr>
      <w:r>
        <w:rPr>
          <w:rFonts w:hint="eastAsia" w:ascii="华文细黑" w:hAnsi="华文细黑" w:eastAsia="华文细黑" w:cs="华文细黑"/>
          <w:szCs w:val="21"/>
        </w:rPr>
        <w:t>如何提前预防、及时应对交房导致的纠纷或冲突危机？如何系统化减少交房风险，提升客户满意度，……成为房企的必修课！</w:t>
      </w:r>
    </w:p>
    <w:p>
      <w:pPr>
        <w:adjustRightInd w:val="0"/>
        <w:snapToGrid w:val="0"/>
        <w:ind w:firstLine="420" w:firstLineChars="200"/>
        <w:rPr>
          <w:rFonts w:ascii="华文细黑" w:hAnsi="华文细黑" w:eastAsia="华文细黑" w:cs="华文细黑"/>
          <w:b/>
          <w:bCs/>
          <w:szCs w:val="21"/>
          <w:u w:val="single"/>
        </w:rPr>
      </w:pPr>
      <w:r>
        <w:rPr>
          <w:rFonts w:hint="eastAsia" w:ascii="华文细黑" w:hAnsi="华文细黑" w:eastAsia="华文细黑" w:cs="华文细黑"/>
          <w:szCs w:val="21"/>
        </w:rPr>
        <w:t>本课程节选自《以交房为契机促进地产管理服务的全面改善（2天版）》课程，</w:t>
      </w:r>
      <w:r>
        <w:rPr>
          <w:rFonts w:hint="eastAsia" w:ascii="华文细黑" w:hAnsi="华文细黑" w:eastAsia="华文细黑" w:cs="华文细黑"/>
          <w:b/>
          <w:bCs/>
          <w:szCs w:val="21"/>
          <w:u w:val="single"/>
        </w:rPr>
        <w:t>重点讲解交房纠纷的预控和应对处置与管理。</w:t>
      </w:r>
    </w:p>
    <w:p>
      <w:pPr>
        <w:adjustRightInd w:val="0"/>
        <w:snapToGrid w:val="0"/>
        <w:ind w:firstLine="420" w:firstLineChars="200"/>
        <w:rPr>
          <w:rFonts w:hint="eastAsia" w:ascii="华文细黑" w:hAnsi="华文细黑" w:eastAsia="华文细黑" w:cs="华文细黑"/>
          <w:b/>
          <w:bCs/>
          <w:szCs w:val="21"/>
          <w:u w:val="single"/>
        </w:rPr>
      </w:pPr>
    </w:p>
    <w:p>
      <w:pPr>
        <w:numPr>
          <w:ilvl w:val="0"/>
          <w:numId w:val="1"/>
        </w:numPr>
        <w:adjustRightInd w:val="0"/>
        <w:snapToGrid w:val="0"/>
        <w:rPr>
          <w:rFonts w:hint="eastAsia" w:ascii="华文细黑" w:hAnsi="华文细黑" w:eastAsia="华文细黑" w:cs="华文细黑"/>
          <w:b/>
          <w:sz w:val="24"/>
        </w:rPr>
      </w:pPr>
      <w:r>
        <w:rPr>
          <w:rFonts w:hint="eastAsia" w:ascii="华文细黑" w:hAnsi="华文细黑" w:eastAsia="华文细黑" w:cs="华文细黑"/>
          <w:b/>
          <w:sz w:val="24"/>
        </w:rPr>
        <w:t>课程目的</w:t>
      </w:r>
    </w:p>
    <w:p>
      <w:pPr>
        <w:numPr>
          <w:ilvl w:val="0"/>
          <w:numId w:val="2"/>
        </w:numPr>
        <w:adjustRightInd w:val="0"/>
        <w:snapToGrid w:val="0"/>
        <w:ind w:left="845"/>
        <w:rPr>
          <w:rFonts w:hint="eastAsia" w:ascii="华文细黑" w:hAnsi="华文细黑" w:eastAsia="华文细黑" w:cs="华文细黑"/>
          <w:szCs w:val="21"/>
        </w:rPr>
      </w:pPr>
      <w:bookmarkStart w:id="1" w:name="_Hlk87009632"/>
      <w:r>
        <w:rPr>
          <w:rFonts w:hint="eastAsia" w:ascii="华文细黑" w:hAnsi="华文细黑" w:eastAsia="华文细黑" w:cs="华文细黑"/>
          <w:bCs/>
          <w:color w:val="000000"/>
          <w:kern w:val="0"/>
          <w:szCs w:val="21"/>
        </w:rPr>
        <w:t>引导企业树立“客户导向、协同预防为主”的主动管理风险的思想；</w:t>
      </w:r>
    </w:p>
    <w:p>
      <w:pPr>
        <w:numPr>
          <w:ilvl w:val="0"/>
          <w:numId w:val="2"/>
        </w:numPr>
        <w:adjustRightInd w:val="0"/>
        <w:snapToGrid w:val="0"/>
        <w:ind w:left="845"/>
        <w:rPr>
          <w:rFonts w:hint="eastAsia" w:ascii="华文细黑" w:hAnsi="华文细黑" w:eastAsia="华文细黑" w:cs="华文细黑"/>
          <w:szCs w:val="21"/>
        </w:rPr>
      </w:pPr>
      <w:r>
        <w:rPr>
          <w:rFonts w:hint="eastAsia" w:ascii="华文细黑" w:hAnsi="华文细黑" w:eastAsia="华文细黑" w:cs="华文细黑"/>
          <w:bCs/>
          <w:color w:val="000000"/>
          <w:kern w:val="0"/>
          <w:szCs w:val="21"/>
        </w:rPr>
        <w:t>以详实的案例解析，给企业干部传授交房</w:t>
      </w:r>
      <w:r>
        <w:rPr>
          <w:rFonts w:hint="eastAsia" w:ascii="华文细黑" w:hAnsi="华文细黑" w:eastAsia="华文细黑" w:cs="华文细黑"/>
          <w:szCs w:val="21"/>
        </w:rPr>
        <w:t>风险的识别、预控、应急、危机公关等处置客户投诉与纠纷的</w:t>
      </w:r>
      <w:r>
        <w:rPr>
          <w:rFonts w:hint="eastAsia" w:ascii="华文细黑" w:hAnsi="华文细黑" w:eastAsia="华文细黑" w:cs="华文细黑"/>
          <w:bCs/>
          <w:color w:val="000000"/>
          <w:kern w:val="0"/>
          <w:szCs w:val="21"/>
        </w:rPr>
        <w:t>系统方法、工具</w:t>
      </w:r>
      <w:r>
        <w:rPr>
          <w:rFonts w:hint="eastAsia" w:ascii="华文细黑" w:hAnsi="华文细黑" w:eastAsia="华文细黑" w:cs="华文细黑"/>
          <w:szCs w:val="21"/>
        </w:rPr>
        <w:t>；</w:t>
      </w:r>
    </w:p>
    <w:p>
      <w:pPr>
        <w:numPr>
          <w:ilvl w:val="0"/>
          <w:numId w:val="2"/>
        </w:numPr>
        <w:adjustRightInd w:val="0"/>
        <w:snapToGrid w:val="0"/>
        <w:ind w:left="845"/>
        <w:rPr>
          <w:rFonts w:ascii="华文细黑" w:hAnsi="华文细黑" w:eastAsia="华文细黑" w:cs="华文细黑"/>
          <w:szCs w:val="21"/>
        </w:rPr>
      </w:pPr>
      <w:r>
        <w:rPr>
          <w:rFonts w:hint="eastAsia" w:ascii="华文细黑" w:hAnsi="华文细黑" w:eastAsia="华文细黑" w:cs="华文细黑"/>
          <w:szCs w:val="21"/>
        </w:rPr>
        <w:t>引导企业干部通过服务改善管理、化危为机，</w:t>
      </w:r>
      <w:r>
        <w:rPr>
          <w:rFonts w:hint="eastAsia" w:ascii="华文细黑" w:hAnsi="华文细黑" w:eastAsia="华文细黑" w:cs="华文细黑"/>
          <w:bCs/>
          <w:color w:val="000000"/>
          <w:kern w:val="0"/>
          <w:szCs w:val="21"/>
        </w:rPr>
        <w:t>提升管理水平、</w:t>
      </w:r>
      <w:r>
        <w:rPr>
          <w:rFonts w:hint="eastAsia" w:ascii="华文细黑" w:hAnsi="华文细黑" w:eastAsia="华文细黑" w:cs="华文细黑"/>
          <w:szCs w:val="21"/>
        </w:rPr>
        <w:t>实现逆势成长！</w:t>
      </w:r>
    </w:p>
    <w:p>
      <w:pPr>
        <w:adjustRightInd w:val="0"/>
        <w:snapToGrid w:val="0"/>
        <w:ind w:left="845"/>
        <w:rPr>
          <w:rFonts w:hint="eastAsia" w:ascii="华文细黑" w:hAnsi="华文细黑" w:eastAsia="华文细黑" w:cs="华文细黑"/>
          <w:szCs w:val="21"/>
        </w:rPr>
      </w:pPr>
    </w:p>
    <w:bookmarkEnd w:id="1"/>
    <w:p>
      <w:pPr>
        <w:numPr>
          <w:ilvl w:val="0"/>
          <w:numId w:val="1"/>
        </w:numPr>
        <w:adjustRightInd w:val="0"/>
        <w:snapToGrid w:val="0"/>
        <w:rPr>
          <w:rFonts w:hint="eastAsia" w:ascii="华文细黑" w:hAnsi="华文细黑" w:eastAsia="华文细黑" w:cs="华文细黑"/>
          <w:b/>
          <w:sz w:val="24"/>
        </w:rPr>
      </w:pPr>
      <w:r>
        <w:rPr>
          <w:rFonts w:hint="eastAsia" w:ascii="华文细黑" w:hAnsi="华文细黑" w:eastAsia="华文细黑" w:cs="华文细黑"/>
          <w:b/>
          <w:sz w:val="24"/>
        </w:rPr>
        <w:t>课程适应群体</w:t>
      </w:r>
    </w:p>
    <w:p>
      <w:pPr>
        <w:adjustRightInd w:val="0"/>
        <w:snapToGrid w:val="0"/>
        <w:ind w:left="420"/>
        <w:rPr>
          <w:rFonts w:hint="eastAsia" w:ascii="华文细黑" w:hAnsi="华文细黑" w:eastAsia="华文细黑" w:cs="华文细黑"/>
          <w:szCs w:val="21"/>
        </w:rPr>
      </w:pPr>
      <w:r>
        <w:rPr>
          <w:rFonts w:hint="eastAsia" w:ascii="华文细黑" w:hAnsi="华文细黑" w:eastAsia="华文细黑" w:cs="华文细黑"/>
          <w:szCs w:val="21"/>
        </w:rPr>
        <w:t>地产公司高层领导（董事长、总裁、总经理）、部门总监、经理、项目骨干，</w:t>
      </w:r>
      <w:r>
        <w:rPr>
          <w:rFonts w:hint="eastAsia" w:ascii="华文细黑" w:hAnsi="华文细黑" w:eastAsia="华文细黑" w:cs="华文细黑"/>
          <w:color w:val="FF0000"/>
          <w:szCs w:val="21"/>
        </w:rPr>
        <w:t>涵盖各专业为佳。</w:t>
      </w:r>
    </w:p>
    <w:p>
      <w:pPr>
        <w:adjustRightInd w:val="0"/>
        <w:snapToGrid w:val="0"/>
        <w:ind w:left="420"/>
        <w:rPr>
          <w:rFonts w:hint="eastAsia" w:ascii="华文细黑" w:hAnsi="华文细黑" w:eastAsia="华文细黑" w:cs="华文细黑"/>
          <w:color w:val="FF0000"/>
          <w:szCs w:val="21"/>
          <w:u w:val="single"/>
        </w:rPr>
      </w:pPr>
      <w:r>
        <w:rPr>
          <w:rFonts w:hint="eastAsia" w:ascii="华文细黑" w:hAnsi="华文细黑" w:eastAsia="华文细黑" w:cs="华文细黑"/>
          <w:color w:val="FF0000"/>
          <w:szCs w:val="21"/>
          <w:u w:val="single"/>
        </w:rPr>
        <w:t>尤其地产客服、研发、工程、营销、物业等与交房工作密切相关的干部、骨干员工参与。</w:t>
      </w:r>
    </w:p>
    <w:p>
      <w:pPr>
        <w:adjustRightInd w:val="0"/>
        <w:snapToGrid w:val="0"/>
        <w:ind w:left="420"/>
        <w:rPr>
          <w:rFonts w:hint="eastAsia" w:ascii="华文细黑" w:hAnsi="华文细黑" w:eastAsia="华文细黑" w:cs="华文细黑"/>
          <w:szCs w:val="21"/>
        </w:rPr>
      </w:pPr>
      <w:r>
        <w:rPr>
          <w:rFonts w:hint="eastAsia" w:ascii="华文细黑" w:hAnsi="华文细黑" w:eastAsia="华文细黑" w:cs="华文细黑"/>
          <w:szCs w:val="21"/>
        </w:rPr>
        <w:t>尽量不要只安排单一职能的基层员工参与（本课程重点在“组织管理以及专业间协调的系统性提升”而不在具体细节的操作技巧）</w:t>
      </w:r>
    </w:p>
    <w:p>
      <w:pPr>
        <w:adjustRightInd w:val="0"/>
        <w:snapToGrid w:val="0"/>
        <w:ind w:left="420"/>
        <w:rPr>
          <w:rFonts w:ascii="华文细黑" w:hAnsi="华文细黑" w:eastAsia="华文细黑" w:cs="华文细黑"/>
          <w:szCs w:val="21"/>
        </w:rPr>
      </w:pPr>
      <w:r>
        <w:rPr>
          <w:rFonts w:hint="eastAsia" w:ascii="华文细黑" w:hAnsi="华文细黑" w:eastAsia="华文细黑" w:cs="华文细黑"/>
          <w:szCs w:val="21"/>
        </w:rPr>
        <w:t>本课程中没有“可以应对一切交房瑕疵实现完美交付的绝招话术”，因此，期望在话术上精研的学员不适合。</w:t>
      </w:r>
    </w:p>
    <w:p>
      <w:pPr>
        <w:adjustRightInd w:val="0"/>
        <w:snapToGrid w:val="0"/>
        <w:ind w:left="420"/>
        <w:rPr>
          <w:rFonts w:hint="eastAsia" w:ascii="华文细黑" w:hAnsi="华文细黑" w:eastAsia="华文细黑" w:cs="华文细黑"/>
          <w:szCs w:val="21"/>
        </w:rPr>
      </w:pPr>
    </w:p>
    <w:p>
      <w:pPr>
        <w:numPr>
          <w:ilvl w:val="0"/>
          <w:numId w:val="1"/>
        </w:numPr>
        <w:adjustRightInd w:val="0"/>
        <w:snapToGrid w:val="0"/>
        <w:rPr>
          <w:rFonts w:hint="eastAsia" w:ascii="华文细黑" w:hAnsi="华文细黑" w:eastAsia="华文细黑" w:cs="华文细黑"/>
          <w:b/>
          <w:sz w:val="24"/>
        </w:rPr>
      </w:pPr>
      <w:r>
        <w:rPr>
          <w:rFonts w:hint="eastAsia" w:ascii="华文细黑" w:hAnsi="华文细黑" w:eastAsia="华文细黑" w:cs="华文细黑"/>
          <w:b/>
          <w:sz w:val="24"/>
        </w:rPr>
        <w:t>学员收益</w:t>
      </w:r>
    </w:p>
    <w:p>
      <w:pPr>
        <w:numPr>
          <w:ilvl w:val="0"/>
          <w:numId w:val="3"/>
        </w:numPr>
        <w:adjustRightInd w:val="0"/>
        <w:snapToGrid w:val="0"/>
        <w:ind w:left="845"/>
        <w:rPr>
          <w:rFonts w:hint="eastAsia" w:ascii="华文细黑" w:hAnsi="华文细黑" w:eastAsia="华文细黑" w:cs="华文细黑"/>
          <w:szCs w:val="21"/>
        </w:rPr>
      </w:pPr>
      <w:r>
        <w:rPr>
          <w:rFonts w:hint="eastAsia" w:ascii="华文细黑" w:hAnsi="华文细黑" w:eastAsia="华文细黑" w:cs="华文细黑"/>
          <w:szCs w:val="21"/>
        </w:rPr>
        <w:t>系统学习交房风险管控及纠纷应对的观念、原则、制度、流程、方法和实践案例，</w:t>
      </w:r>
    </w:p>
    <w:p>
      <w:pPr>
        <w:numPr>
          <w:ilvl w:val="0"/>
          <w:numId w:val="3"/>
        </w:numPr>
        <w:adjustRightInd w:val="0"/>
        <w:snapToGrid w:val="0"/>
        <w:ind w:left="845"/>
        <w:rPr>
          <w:rFonts w:hint="eastAsia" w:ascii="华文细黑" w:hAnsi="华文细黑" w:eastAsia="华文细黑" w:cs="华文细黑"/>
          <w:szCs w:val="21"/>
        </w:rPr>
      </w:pPr>
      <w:r>
        <w:rPr>
          <w:rFonts w:hint="eastAsia" w:ascii="华文细黑" w:hAnsi="华文细黑" w:eastAsia="华文细黑" w:cs="华文细黑"/>
          <w:szCs w:val="21"/>
        </w:rPr>
        <w:t>了解标杆企业实施整改的经验教训，提升对“工程整改”的重视度。</w:t>
      </w:r>
    </w:p>
    <w:p>
      <w:pPr>
        <w:numPr>
          <w:ilvl w:val="0"/>
          <w:numId w:val="3"/>
        </w:numPr>
        <w:adjustRightInd w:val="0"/>
        <w:snapToGrid w:val="0"/>
        <w:ind w:left="845"/>
        <w:rPr>
          <w:rFonts w:ascii="华文细黑" w:hAnsi="华文细黑" w:eastAsia="华文细黑" w:cs="华文细黑"/>
          <w:szCs w:val="21"/>
        </w:rPr>
      </w:pPr>
      <w:r>
        <w:rPr>
          <w:rFonts w:hint="eastAsia" w:ascii="华文细黑" w:hAnsi="华文细黑" w:eastAsia="华文细黑" w:cs="华文细黑"/>
          <w:szCs w:val="21"/>
        </w:rPr>
        <w:t>提升对地产管理服务全面改善的重视度、并了解基本原则和改善方向。</w:t>
      </w:r>
    </w:p>
    <w:p>
      <w:pPr>
        <w:adjustRightInd w:val="0"/>
        <w:snapToGrid w:val="0"/>
        <w:ind w:left="845"/>
        <w:rPr>
          <w:rFonts w:hint="eastAsia" w:ascii="华文细黑" w:hAnsi="华文细黑" w:eastAsia="华文细黑" w:cs="华文细黑"/>
          <w:szCs w:val="21"/>
        </w:rPr>
      </w:pPr>
    </w:p>
    <w:p>
      <w:pPr>
        <w:numPr>
          <w:ilvl w:val="0"/>
          <w:numId w:val="1"/>
        </w:numPr>
        <w:adjustRightInd w:val="0"/>
        <w:snapToGrid w:val="0"/>
        <w:rPr>
          <w:rFonts w:ascii="华文细黑" w:hAnsi="华文细黑" w:eastAsia="华文细黑" w:cs="华文细黑"/>
          <w:szCs w:val="21"/>
        </w:rPr>
      </w:pPr>
      <w:r>
        <w:rPr>
          <w:rFonts w:hint="eastAsia" w:ascii="华文细黑" w:hAnsi="华文细黑" w:eastAsia="华文细黑" w:cs="华文细黑"/>
          <w:b/>
          <w:sz w:val="24"/>
        </w:rPr>
        <w:t>课程时间：</w:t>
      </w:r>
      <w:r>
        <w:rPr>
          <w:rFonts w:hint="eastAsia" w:ascii="华文细黑" w:hAnsi="华文细黑" w:eastAsia="华文细黑" w:cs="华文细黑"/>
          <w:b/>
          <w:bCs/>
          <w:sz w:val="24"/>
        </w:rPr>
        <w:t>1天（6小时）</w:t>
      </w:r>
    </w:p>
    <w:p>
      <w:pPr>
        <w:adjustRightInd w:val="0"/>
        <w:snapToGrid w:val="0"/>
        <w:ind w:left="420"/>
        <w:rPr>
          <w:rFonts w:hint="eastAsia" w:ascii="华文细黑" w:hAnsi="华文细黑" w:eastAsia="华文细黑" w:cs="华文细黑"/>
          <w:szCs w:val="21"/>
        </w:rPr>
      </w:pPr>
    </w:p>
    <w:p>
      <w:pPr>
        <w:numPr>
          <w:ilvl w:val="0"/>
          <w:numId w:val="1"/>
        </w:numPr>
        <w:adjustRightInd w:val="0"/>
        <w:snapToGrid w:val="0"/>
        <w:rPr>
          <w:rFonts w:hint="eastAsia" w:ascii="华文细黑" w:hAnsi="华文细黑" w:eastAsia="华文细黑" w:cs="华文细黑"/>
          <w:b/>
          <w:sz w:val="24"/>
        </w:rPr>
      </w:pPr>
      <w:r>
        <w:rPr>
          <w:rFonts w:hint="eastAsia" w:ascii="华文细黑" w:hAnsi="华文细黑" w:eastAsia="华文细黑" w:cs="华文细黑"/>
          <w:b/>
          <w:sz w:val="24"/>
        </w:rPr>
        <w:t>课程大纲</w:t>
      </w:r>
    </w:p>
    <w:p>
      <w:pPr>
        <w:numPr>
          <w:ilvl w:val="1"/>
          <w:numId w:val="1"/>
        </w:numPr>
        <w:adjustRightInd w:val="0"/>
        <w:snapToGrid w:val="0"/>
        <w:rPr>
          <w:rFonts w:hint="eastAsia" w:ascii="华文细黑" w:hAnsi="华文细黑" w:eastAsia="华文细黑" w:cs="华文细黑"/>
          <w:szCs w:val="21"/>
          <w:lang w:val="en-US" w:eastAsia="zh-CN"/>
        </w:rPr>
        <w:sectPr>
          <w:footerReference r:id="rId3" w:type="default"/>
          <w:type w:val="continuous"/>
          <w:pgSz w:w="11907" w:h="16840"/>
          <w:pgMar w:top="1081" w:right="1134" w:bottom="1134" w:left="1134" w:header="851" w:footer="1055" w:gutter="0"/>
          <w:paperSrc w:first="7"/>
          <w:cols w:space="720" w:num="1"/>
          <w:docGrid w:type="lines" w:linePitch="312" w:charSpace="0"/>
        </w:sectPr>
      </w:pPr>
      <w:r>
        <w:rPr>
          <w:rFonts w:hint="eastAsia" w:ascii="华文细黑" w:hAnsi="华文细黑" w:eastAsia="华文细黑" w:cs="华文细黑"/>
          <w:b/>
          <w:szCs w:val="21"/>
        </w:rPr>
        <w:t>交房正成为普遍的麻烦与难题</w:t>
      </w:r>
      <w:r>
        <w:rPr>
          <w:rFonts w:hint="eastAsia" w:ascii="华文细黑" w:hAnsi="华文细黑" w:eastAsia="华文细黑" w:cs="华文细黑"/>
          <w:b/>
          <w:szCs w:val="21"/>
          <w:lang w:val="en-US" w:eastAsia="zh-CN"/>
        </w:rPr>
        <w:t xml:space="preserve">  </w:t>
      </w:r>
      <w:r>
        <w:rPr>
          <w:rFonts w:hint="eastAsia" w:ascii="华文细黑" w:hAnsi="华文细黑" w:eastAsia="华文细黑" w:cs="华文细黑"/>
          <w:b/>
          <w:bCs/>
          <w:szCs w:val="21"/>
          <w:lang w:val="en-US" w:eastAsia="zh-CN"/>
        </w:rPr>
        <w:t>约30分钟</w:t>
      </w:r>
    </w:p>
    <w:p>
      <w:pPr>
        <w:numPr>
          <w:ilvl w:val="2"/>
          <w:numId w:val="1"/>
        </w:numPr>
        <w:adjustRightInd w:val="0"/>
        <w:snapToGrid w:val="0"/>
        <w:rPr>
          <w:rFonts w:hint="eastAsia" w:ascii="华文细黑" w:hAnsi="华文细黑" w:eastAsia="华文细黑" w:cs="华文细黑"/>
          <w:szCs w:val="21"/>
        </w:rPr>
      </w:pPr>
      <w:r>
        <w:rPr>
          <w:rFonts w:hint="eastAsia" w:ascii="华文细黑" w:hAnsi="华文细黑" w:eastAsia="华文细黑" w:cs="华文细黑"/>
          <w:szCs w:val="21"/>
        </w:rPr>
        <w:t>房地产客户投诉变化趋势</w:t>
      </w:r>
    </w:p>
    <w:p>
      <w:pPr>
        <w:numPr>
          <w:ilvl w:val="2"/>
          <w:numId w:val="1"/>
        </w:numPr>
        <w:adjustRightInd w:val="0"/>
        <w:snapToGrid w:val="0"/>
        <w:rPr>
          <w:rFonts w:hint="eastAsia" w:ascii="华文细黑" w:hAnsi="华文细黑" w:eastAsia="华文细黑" w:cs="华文细黑"/>
          <w:szCs w:val="21"/>
        </w:rPr>
      </w:pPr>
      <w:r>
        <w:rPr>
          <w:rFonts w:hint="eastAsia" w:ascii="华文细黑" w:hAnsi="华文细黑" w:eastAsia="华文细黑" w:cs="华文细黑"/>
          <w:szCs w:val="21"/>
        </w:rPr>
        <w:t>投诉演变为冲突，标杆房企也不例外</w:t>
      </w:r>
    </w:p>
    <w:p>
      <w:pPr>
        <w:widowControl w:val="0"/>
        <w:numPr>
          <w:ilvl w:val="0"/>
          <w:numId w:val="0"/>
        </w:numPr>
        <w:adjustRightInd w:val="0"/>
        <w:snapToGrid w:val="0"/>
        <w:ind w:left="840" w:leftChars="400" w:firstLine="420" w:firstLineChars="200"/>
        <w:jc w:val="both"/>
        <w:rPr>
          <w:rFonts w:hint="default" w:ascii="华文细黑" w:hAnsi="华文细黑" w:eastAsia="华文细黑" w:cs="华文细黑"/>
          <w:b w:val="0"/>
          <w:bCs/>
          <w:szCs w:val="21"/>
          <w:lang w:val="en-US" w:eastAsia="zh-CN"/>
        </w:rPr>
        <w:sectPr>
          <w:type w:val="continuous"/>
          <w:pgSz w:w="11907" w:h="16840"/>
          <w:pgMar w:top="1081" w:right="1134" w:bottom="1134" w:left="1134" w:header="851" w:footer="1055" w:gutter="0"/>
          <w:paperSrc w:first="7"/>
          <w:cols w:space="720" w:num="1"/>
          <w:docGrid w:type="lines" w:linePitch="312" w:charSpace="0"/>
        </w:sectPr>
      </w:pPr>
      <w:r>
        <w:rPr>
          <w:rFonts w:hint="eastAsia" w:ascii="华文细黑" w:hAnsi="华文细黑" w:eastAsia="华文细黑" w:cs="华文细黑"/>
          <w:b w:val="0"/>
          <w:bCs/>
          <w:szCs w:val="21"/>
          <w:lang w:val="en-US" w:eastAsia="zh-CN"/>
        </w:rPr>
        <w:t>本章节揭示了交房纠纷的普遍性与解决的高难度，提醒企业干部员工对“交房组织与纠纷应对”要予以充分重视。</w:t>
      </w:r>
    </w:p>
    <w:p>
      <w:pPr>
        <w:numPr>
          <w:ilvl w:val="2"/>
          <w:numId w:val="1"/>
        </w:numPr>
        <w:adjustRightInd w:val="0"/>
        <w:snapToGrid w:val="0"/>
        <w:rPr>
          <w:rFonts w:hint="eastAsia" w:ascii="华文细黑" w:hAnsi="华文细黑" w:eastAsia="华文细黑" w:cs="华文细黑"/>
          <w:b/>
          <w:szCs w:val="21"/>
        </w:rPr>
      </w:pPr>
      <w:r>
        <w:rPr>
          <w:rFonts w:hint="eastAsia" w:ascii="华文细黑" w:hAnsi="华文细黑" w:eastAsia="华文细黑" w:cs="华文细黑"/>
          <w:szCs w:val="21"/>
          <w:lang w:val="en-US" w:eastAsia="zh-CN"/>
        </w:rPr>
        <w:t>交房即维权，根在何处？解读</w:t>
      </w:r>
      <w:r>
        <w:rPr>
          <w:rFonts w:hint="eastAsia" w:ascii="华文细黑" w:hAnsi="华文细黑" w:eastAsia="华文细黑" w:cs="华文细黑"/>
          <w:b w:val="0"/>
          <w:bCs/>
          <w:szCs w:val="21"/>
        </w:rPr>
        <w:t>交房纠纷增多\激化的六大因素</w:t>
      </w:r>
    </w:p>
    <w:p>
      <w:pPr>
        <w:numPr>
          <w:ilvl w:val="0"/>
          <w:numId w:val="4"/>
        </w:numPr>
        <w:adjustRightInd w:val="0"/>
        <w:snapToGrid w:val="0"/>
        <w:ind w:left="840" w:leftChars="0" w:firstLine="420" w:firstLineChars="200"/>
        <w:rPr>
          <w:rFonts w:hint="default" w:ascii="华文细黑" w:hAnsi="华文细黑" w:eastAsia="华文细黑" w:cs="华文细黑"/>
          <w:b w:val="0"/>
          <w:bCs/>
          <w:szCs w:val="21"/>
          <w:lang w:val="en-US" w:eastAsia="zh-CN"/>
        </w:rPr>
      </w:pPr>
      <w:r>
        <w:rPr>
          <w:rFonts w:hint="eastAsia" w:ascii="华文细黑" w:hAnsi="华文细黑" w:eastAsia="华文细黑" w:cs="华文细黑"/>
          <w:b w:val="0"/>
          <w:bCs/>
          <w:szCs w:val="21"/>
          <w:lang w:val="en-US" w:eastAsia="zh-CN"/>
        </w:rPr>
        <w:t>营销承诺与现实落差的困局，要生存还是要品牌？摇摆的选择导致投诉困局！</w:t>
      </w:r>
    </w:p>
    <w:p>
      <w:pPr>
        <w:numPr>
          <w:ilvl w:val="0"/>
          <w:numId w:val="0"/>
        </w:numPr>
        <w:adjustRightInd w:val="0"/>
        <w:snapToGrid w:val="0"/>
        <w:ind w:leftChars="200" w:firstLine="840" w:firstLineChars="400"/>
        <w:rPr>
          <w:rFonts w:hint="default" w:ascii="华文细黑" w:hAnsi="华文细黑" w:eastAsia="华文细黑" w:cs="华文细黑"/>
          <w:b w:val="0"/>
          <w:bCs/>
          <w:szCs w:val="21"/>
          <w:lang w:val="en-US" w:eastAsia="zh-CN"/>
        </w:rPr>
      </w:pPr>
      <w:r>
        <w:rPr>
          <w:rFonts w:hint="eastAsia" w:ascii="华文细黑" w:hAnsi="华文细黑" w:eastAsia="华文细黑" w:cs="华文细黑"/>
          <w:b w:val="0"/>
          <w:bCs/>
          <w:szCs w:val="21"/>
          <w:lang w:val="en-US" w:eastAsia="zh-CN"/>
        </w:rPr>
        <w:t>通过对营销本质的追问，揭示企业干部对客户导向、品牌核心认识的普遍误区！</w:t>
      </w:r>
    </w:p>
    <w:p>
      <w:pPr>
        <w:numPr>
          <w:ilvl w:val="0"/>
          <w:numId w:val="4"/>
        </w:numPr>
        <w:adjustRightInd w:val="0"/>
        <w:snapToGrid w:val="0"/>
        <w:ind w:left="840" w:leftChars="0" w:firstLine="420" w:firstLineChars="200"/>
        <w:rPr>
          <w:rFonts w:hint="eastAsia" w:ascii="华文细黑" w:hAnsi="华文细黑" w:eastAsia="华文细黑" w:cs="华文细黑"/>
          <w:b/>
          <w:szCs w:val="21"/>
        </w:rPr>
      </w:pPr>
      <w:r>
        <w:rPr>
          <w:rFonts w:hint="eastAsia" w:ascii="华文细黑" w:hAnsi="华文细黑" w:eastAsia="华文细黑" w:cs="华文细黑"/>
          <w:b w:val="0"/>
          <w:bCs/>
          <w:szCs w:val="21"/>
          <w:lang w:val="en-US" w:eastAsia="zh-CN"/>
        </w:rPr>
        <w:t>普遍的短板误区：忽略客户预期，隐患无穷</w:t>
      </w:r>
    </w:p>
    <w:p>
      <w:pPr>
        <w:numPr>
          <w:ilvl w:val="0"/>
          <w:numId w:val="4"/>
        </w:numPr>
        <w:adjustRightInd w:val="0"/>
        <w:snapToGrid w:val="0"/>
        <w:ind w:left="840" w:leftChars="0" w:firstLine="420" w:firstLineChars="200"/>
        <w:rPr>
          <w:rFonts w:hint="eastAsia" w:ascii="华文细黑" w:hAnsi="华文细黑" w:eastAsia="华文细黑" w:cs="华文细黑"/>
          <w:b w:val="0"/>
          <w:bCs/>
          <w:szCs w:val="21"/>
        </w:rPr>
      </w:pPr>
      <w:r>
        <w:rPr>
          <w:rFonts w:hint="eastAsia" w:ascii="华文细黑" w:hAnsi="华文细黑" w:eastAsia="华文细黑" w:cs="华文细黑"/>
          <w:b w:val="0"/>
          <w:bCs/>
          <w:szCs w:val="21"/>
          <w:lang w:val="en-US" w:eastAsia="zh-CN"/>
        </w:rPr>
        <w:t>客户维权演变趋势，</w:t>
      </w:r>
      <w:r>
        <w:rPr>
          <w:rFonts w:hint="eastAsia" w:ascii="华文细黑" w:hAnsi="华文细黑" w:eastAsia="华文细黑" w:cs="华文细黑"/>
          <w:b w:val="0"/>
          <w:bCs/>
          <w:szCs w:val="21"/>
        </w:rPr>
        <w:t>愚民措施</w:t>
      </w:r>
      <w:r>
        <w:rPr>
          <w:rFonts w:hint="eastAsia" w:ascii="华文细黑" w:hAnsi="华文细黑" w:eastAsia="华文细黑" w:cs="华文细黑"/>
          <w:b w:val="0"/>
          <w:bCs/>
          <w:szCs w:val="21"/>
          <w:lang w:eastAsia="zh-CN"/>
        </w:rPr>
        <w:t>、</w:t>
      </w:r>
      <w:r>
        <w:rPr>
          <w:rFonts w:hint="eastAsia" w:ascii="华文细黑" w:hAnsi="华文细黑" w:eastAsia="华文细黑" w:cs="华文细黑"/>
          <w:b w:val="0"/>
          <w:bCs/>
          <w:szCs w:val="21"/>
          <w:lang w:val="en-US" w:eastAsia="zh-CN"/>
        </w:rPr>
        <w:t>侥幸心理</w:t>
      </w:r>
      <w:r>
        <w:rPr>
          <w:rFonts w:hint="eastAsia" w:ascii="华文细黑" w:hAnsi="华文细黑" w:eastAsia="华文细黑" w:cs="华文细黑"/>
          <w:b w:val="0"/>
          <w:bCs/>
          <w:szCs w:val="21"/>
        </w:rPr>
        <w:t>害人害己！</w:t>
      </w:r>
    </w:p>
    <w:p>
      <w:pPr>
        <w:numPr>
          <w:ilvl w:val="0"/>
          <w:numId w:val="0"/>
        </w:numPr>
        <w:adjustRightInd w:val="0"/>
        <w:snapToGrid w:val="0"/>
        <w:ind w:left="420" w:leftChars="0" w:firstLine="420" w:firstLineChars="200"/>
        <w:rPr>
          <w:rFonts w:hint="eastAsia" w:ascii="华文细黑" w:hAnsi="华文细黑" w:eastAsia="华文细黑" w:cs="华文细黑"/>
          <w:b/>
          <w:bCs w:val="0"/>
          <w:szCs w:val="21"/>
          <w:lang w:val="en-US" w:eastAsia="zh-CN"/>
        </w:rPr>
      </w:pPr>
      <w:r>
        <w:rPr>
          <w:rFonts w:hint="eastAsia" w:ascii="华文细黑" w:hAnsi="华文细黑" w:eastAsia="华文细黑" w:cs="华文细黑"/>
          <w:b/>
          <w:bCs w:val="0"/>
          <w:szCs w:val="21"/>
          <w:lang w:val="en-US" w:eastAsia="zh-CN"/>
        </w:rPr>
        <w:t>本章节内容常常被忽略！</w:t>
      </w:r>
    </w:p>
    <w:p>
      <w:pPr>
        <w:numPr>
          <w:ilvl w:val="0"/>
          <w:numId w:val="0"/>
        </w:numPr>
        <w:adjustRightInd w:val="0"/>
        <w:snapToGrid w:val="0"/>
        <w:ind w:left="420" w:leftChars="0" w:firstLine="420" w:firstLineChars="200"/>
        <w:rPr>
          <w:rFonts w:hint="eastAsia" w:ascii="华文细黑" w:hAnsi="华文细黑" w:eastAsia="华文细黑" w:cs="华文细黑"/>
          <w:b/>
          <w:szCs w:val="21"/>
          <w:lang w:val="en-US" w:eastAsia="zh-CN"/>
        </w:rPr>
      </w:pPr>
      <w:r>
        <w:rPr>
          <w:rFonts w:hint="eastAsia" w:ascii="华文细黑" w:hAnsi="华文细黑" w:eastAsia="华文细黑" w:cs="华文细黑"/>
          <w:b w:val="0"/>
          <w:bCs/>
          <w:szCs w:val="21"/>
          <w:lang w:val="en-US" w:eastAsia="zh-CN"/>
        </w:rPr>
        <w:t>本章节揭示了房地产行业投诉纠纷高比率的根源，既有行业本身的特点，也有企业、项目本身管理专业度水平的差异，</w:t>
      </w:r>
      <w:r>
        <w:rPr>
          <w:rFonts w:hint="eastAsia" w:ascii="华文细黑" w:hAnsi="华文细黑" w:eastAsia="华文细黑" w:cs="华文细黑"/>
          <w:b/>
          <w:szCs w:val="21"/>
          <w:lang w:val="en-US" w:eastAsia="zh-CN"/>
        </w:rPr>
        <w:t>更有客户维权模式发生重大变化的因素。</w:t>
      </w:r>
    </w:p>
    <w:p>
      <w:pPr>
        <w:numPr>
          <w:ilvl w:val="0"/>
          <w:numId w:val="0"/>
        </w:numPr>
        <w:adjustRightInd w:val="0"/>
        <w:snapToGrid w:val="0"/>
        <w:ind w:left="420" w:leftChars="0"/>
        <w:rPr>
          <w:rFonts w:hint="default" w:ascii="华文细黑" w:hAnsi="华文细黑" w:eastAsia="华文细黑" w:cs="华文细黑"/>
          <w:b w:val="0"/>
          <w:bCs/>
          <w:szCs w:val="21"/>
          <w:lang w:val="en-US" w:eastAsia="zh-CN"/>
        </w:rPr>
      </w:pPr>
      <w:r>
        <w:rPr>
          <w:rFonts w:hint="eastAsia" w:ascii="华文细黑" w:hAnsi="华文细黑" w:eastAsia="华文细黑" w:cs="华文细黑"/>
          <w:b/>
          <w:szCs w:val="21"/>
          <w:lang w:val="en-US" w:eastAsia="zh-CN"/>
        </w:rPr>
        <w:t xml:space="preserve">   </w:t>
      </w:r>
      <w:r>
        <w:rPr>
          <w:rFonts w:hint="eastAsia" w:ascii="华文细黑" w:hAnsi="华文细黑" w:eastAsia="华文细黑" w:cs="华文细黑"/>
          <w:b w:val="0"/>
          <w:bCs/>
          <w:szCs w:val="21"/>
          <w:lang w:val="en-US" w:eastAsia="zh-CN"/>
        </w:rPr>
        <w:t xml:space="preserve"> 本章用生动案例揭示了客户维权模式演变升级的规律，给企业和学员深刻警醒：不要对交房和客户维权的强度广度抱侥幸心理！有助于提升企业员工对交房工作的重视与细致、对客户意见、客服部门、对企业长远品牌塑造的重视；</w:t>
      </w:r>
    </w:p>
    <w:p>
      <w:pPr>
        <w:numPr>
          <w:ilvl w:val="0"/>
          <w:numId w:val="0"/>
        </w:numPr>
        <w:adjustRightInd w:val="0"/>
        <w:snapToGrid w:val="0"/>
        <w:ind w:left="840" w:leftChars="0"/>
        <w:rPr>
          <w:rFonts w:hint="eastAsia" w:ascii="华文细黑" w:hAnsi="华文细黑" w:eastAsia="华文细黑" w:cs="华文细黑"/>
          <w:szCs w:val="21"/>
        </w:rPr>
      </w:pPr>
    </w:p>
    <w:p>
      <w:pPr>
        <w:numPr>
          <w:ilvl w:val="1"/>
          <w:numId w:val="1"/>
        </w:numPr>
        <w:adjustRightInd w:val="0"/>
        <w:snapToGrid w:val="0"/>
        <w:rPr>
          <w:rFonts w:hint="eastAsia" w:ascii="华文细黑" w:hAnsi="华文细黑" w:eastAsia="华文细黑" w:cs="华文细黑"/>
          <w:szCs w:val="21"/>
        </w:rPr>
      </w:pPr>
      <w:r>
        <w:rPr>
          <w:rFonts w:hint="eastAsia" w:ascii="华文细黑" w:hAnsi="华文细黑" w:eastAsia="华文细黑" w:cs="华文细黑"/>
          <w:b/>
          <w:bCs/>
          <w:szCs w:val="21"/>
        </w:rPr>
        <w:t>交房成功的关键</w:t>
      </w:r>
      <w:r>
        <w:rPr>
          <w:rFonts w:hint="eastAsia" w:ascii="华文细黑" w:hAnsi="华文细黑" w:eastAsia="华文细黑" w:cs="华文细黑"/>
          <w:b/>
          <w:bCs/>
          <w:szCs w:val="21"/>
          <w:lang w:val="en-US" w:eastAsia="zh-CN"/>
        </w:rPr>
        <w:t>何在</w:t>
      </w:r>
      <w:r>
        <w:rPr>
          <w:rFonts w:hint="eastAsia" w:ascii="华文细黑" w:hAnsi="华文细黑" w:eastAsia="华文细黑" w:cs="华文细黑"/>
          <w:b/>
          <w:bCs/>
          <w:szCs w:val="21"/>
        </w:rPr>
        <w:t>？</w:t>
      </w:r>
      <w:r>
        <w:rPr>
          <w:rFonts w:hint="eastAsia" w:ascii="华文细黑" w:hAnsi="华文细黑" w:eastAsia="华文细黑" w:cs="华文细黑"/>
          <w:b/>
          <w:bCs/>
          <w:szCs w:val="21"/>
          <w:lang w:val="en-US" w:eastAsia="zh-CN"/>
        </w:rPr>
        <w:t>约20分钟</w:t>
      </w:r>
    </w:p>
    <w:p>
      <w:pPr>
        <w:numPr>
          <w:ilvl w:val="2"/>
          <w:numId w:val="1"/>
        </w:numPr>
        <w:adjustRightInd w:val="0"/>
        <w:snapToGrid w:val="0"/>
        <w:ind w:left="1200" w:leftChars="0" w:hanging="360" w:firstLineChars="0"/>
        <w:rPr>
          <w:rFonts w:hint="eastAsia" w:ascii="华文细黑" w:hAnsi="华文细黑" w:eastAsia="华文细黑" w:cs="华文细黑"/>
          <w:b w:val="0"/>
          <w:bCs w:val="0"/>
          <w:szCs w:val="21"/>
          <w:lang w:val="en-US" w:eastAsia="zh-CN"/>
        </w:rPr>
      </w:pPr>
      <w:r>
        <w:rPr>
          <w:rFonts w:hint="eastAsia" w:ascii="华文细黑" w:hAnsi="华文细黑" w:eastAsia="华文细黑" w:cs="华文细黑"/>
          <w:b w:val="0"/>
          <w:bCs w:val="0"/>
          <w:szCs w:val="21"/>
          <w:lang w:val="en-US" w:eastAsia="zh-CN"/>
        </w:rPr>
        <w:t>交房关键？</w:t>
      </w:r>
    </w:p>
    <w:p>
      <w:pPr>
        <w:numPr>
          <w:ilvl w:val="2"/>
          <w:numId w:val="1"/>
        </w:numPr>
        <w:adjustRightInd w:val="0"/>
        <w:snapToGrid w:val="0"/>
        <w:ind w:left="1200" w:leftChars="0" w:hanging="360" w:firstLineChars="0"/>
        <w:rPr>
          <w:rFonts w:hint="eastAsia" w:ascii="华文细黑" w:hAnsi="华文细黑" w:eastAsia="华文细黑" w:cs="华文细黑"/>
          <w:b w:val="0"/>
          <w:bCs w:val="0"/>
          <w:szCs w:val="21"/>
        </w:rPr>
      </w:pPr>
      <w:r>
        <w:rPr>
          <w:rFonts w:hint="eastAsia" w:ascii="华文细黑" w:hAnsi="华文细黑" w:eastAsia="华文细黑" w:cs="华文细黑"/>
          <w:b w:val="0"/>
          <w:bCs w:val="0"/>
          <w:szCs w:val="21"/>
        </w:rPr>
        <w:t>有没有交房的绝招话术？！</w:t>
      </w:r>
    </w:p>
    <w:p>
      <w:pPr>
        <w:numPr>
          <w:ilvl w:val="2"/>
          <w:numId w:val="1"/>
        </w:numPr>
        <w:adjustRightInd w:val="0"/>
        <w:snapToGrid w:val="0"/>
        <w:ind w:left="1200" w:leftChars="0" w:hanging="360" w:firstLineChars="0"/>
        <w:rPr>
          <w:rFonts w:hint="eastAsia" w:ascii="华文细黑" w:hAnsi="华文细黑" w:eastAsia="华文细黑" w:cs="华文细黑"/>
          <w:b w:val="0"/>
          <w:bCs w:val="0"/>
          <w:szCs w:val="21"/>
        </w:rPr>
      </w:pPr>
      <w:r>
        <w:rPr>
          <w:rFonts w:hint="eastAsia" w:ascii="华文细黑" w:hAnsi="华文细黑" w:eastAsia="华文细黑" w:cs="华文细黑"/>
          <w:b w:val="0"/>
          <w:bCs w:val="0"/>
          <w:szCs w:val="21"/>
          <w:lang w:val="en-US" w:eastAsia="zh-CN"/>
        </w:rPr>
        <w:t>交房成功是系统工程</w:t>
      </w:r>
    </w:p>
    <w:p>
      <w:pPr>
        <w:numPr>
          <w:ilvl w:val="2"/>
          <w:numId w:val="1"/>
        </w:numPr>
        <w:adjustRightInd w:val="0"/>
        <w:snapToGrid w:val="0"/>
        <w:ind w:left="1200" w:leftChars="0" w:hanging="360" w:firstLineChars="0"/>
        <w:rPr>
          <w:rFonts w:hint="eastAsia" w:ascii="华文细黑" w:hAnsi="华文细黑" w:eastAsia="华文细黑" w:cs="华文细黑"/>
          <w:b w:val="0"/>
          <w:bCs w:val="0"/>
          <w:szCs w:val="21"/>
        </w:rPr>
      </w:pPr>
      <w:r>
        <w:rPr>
          <w:rFonts w:hint="eastAsia" w:ascii="华文细黑" w:hAnsi="华文细黑" w:eastAsia="华文细黑" w:cs="华文细黑"/>
          <w:b w:val="0"/>
          <w:bCs w:val="0"/>
          <w:szCs w:val="21"/>
          <w:lang w:val="en-US" w:eastAsia="zh-CN"/>
        </w:rPr>
        <w:t>行业交付准备、交付执行与总结改善中的普遍短板</w:t>
      </w:r>
    </w:p>
    <w:p>
      <w:pPr>
        <w:numPr>
          <w:ilvl w:val="2"/>
          <w:numId w:val="1"/>
        </w:numPr>
        <w:adjustRightInd w:val="0"/>
        <w:snapToGrid w:val="0"/>
        <w:ind w:left="1200" w:leftChars="0" w:hanging="360" w:firstLineChars="0"/>
        <w:rPr>
          <w:rFonts w:hint="eastAsia" w:ascii="华文细黑" w:hAnsi="华文细黑" w:eastAsia="华文细黑" w:cs="华文细黑"/>
          <w:b w:val="0"/>
          <w:bCs w:val="0"/>
          <w:szCs w:val="21"/>
        </w:rPr>
      </w:pPr>
      <w:r>
        <w:rPr>
          <w:rFonts w:hint="eastAsia" w:ascii="华文细黑" w:hAnsi="华文细黑" w:eastAsia="华文细黑" w:cs="华文细黑"/>
          <w:b w:val="0"/>
          <w:bCs w:val="0"/>
          <w:szCs w:val="21"/>
          <w:lang w:val="en-US" w:eastAsia="zh-CN"/>
        </w:rPr>
        <w:t>竣验交付主要工作概览</w:t>
      </w:r>
    </w:p>
    <w:p>
      <w:pPr>
        <w:numPr>
          <w:ilvl w:val="2"/>
          <w:numId w:val="1"/>
        </w:numPr>
        <w:adjustRightInd w:val="0"/>
        <w:snapToGrid w:val="0"/>
        <w:ind w:left="1200" w:leftChars="0" w:hanging="360" w:firstLineChars="0"/>
        <w:rPr>
          <w:rFonts w:hint="eastAsia" w:ascii="华文细黑" w:hAnsi="华文细黑" w:eastAsia="华文细黑" w:cs="华文细黑"/>
          <w:b w:val="0"/>
          <w:bCs w:val="0"/>
          <w:szCs w:val="21"/>
        </w:rPr>
      </w:pPr>
      <w:r>
        <w:rPr>
          <w:rFonts w:hint="eastAsia" w:ascii="华文细黑" w:hAnsi="华文细黑" w:eastAsia="华文细黑" w:cs="华文细黑"/>
          <w:b w:val="0"/>
          <w:bCs w:val="0"/>
          <w:szCs w:val="21"/>
          <w:lang w:val="en-US" w:eastAsia="zh-CN"/>
        </w:rPr>
        <w:t>交房前组织策划工作的演变趋势</w:t>
      </w:r>
    </w:p>
    <w:p>
      <w:pPr>
        <w:numPr>
          <w:ilvl w:val="0"/>
          <w:numId w:val="0"/>
        </w:numPr>
        <w:adjustRightInd w:val="0"/>
        <w:snapToGrid w:val="0"/>
        <w:ind w:left="840" w:leftChars="0"/>
        <w:rPr>
          <w:rFonts w:hint="eastAsia" w:ascii="华文细黑" w:hAnsi="华文细黑" w:eastAsia="华文细黑" w:cs="华文细黑"/>
          <w:b w:val="0"/>
          <w:bCs w:val="0"/>
          <w:szCs w:val="21"/>
          <w:lang w:val="en-US" w:eastAsia="zh-CN"/>
        </w:rPr>
      </w:pPr>
      <w:r>
        <w:rPr>
          <w:rFonts w:hint="eastAsia" w:ascii="华文细黑" w:hAnsi="华文细黑" w:eastAsia="华文细黑" w:cs="华文细黑"/>
          <w:b w:val="0"/>
          <w:bCs w:val="0"/>
          <w:szCs w:val="21"/>
          <w:lang w:val="en-US" w:eastAsia="zh-CN"/>
        </w:rPr>
        <w:t>本章核心：</w:t>
      </w:r>
    </w:p>
    <w:p>
      <w:pPr>
        <w:numPr>
          <w:ilvl w:val="0"/>
          <w:numId w:val="0"/>
        </w:numPr>
        <w:adjustRightInd w:val="0"/>
        <w:snapToGrid w:val="0"/>
        <w:ind w:left="840" w:leftChars="0"/>
        <w:rPr>
          <w:rFonts w:hint="default" w:ascii="华文细黑" w:hAnsi="华文细黑" w:eastAsia="华文细黑" w:cs="华文细黑"/>
          <w:b w:val="0"/>
          <w:bCs w:val="0"/>
          <w:szCs w:val="21"/>
          <w:lang w:val="en-US" w:eastAsia="zh-CN"/>
        </w:rPr>
      </w:pPr>
      <w:r>
        <w:rPr>
          <w:rFonts w:hint="eastAsia" w:ascii="华文细黑" w:hAnsi="华文细黑" w:eastAsia="华文细黑" w:cs="华文细黑"/>
          <w:b w:val="0"/>
          <w:bCs w:val="0"/>
          <w:szCs w:val="21"/>
          <w:lang w:val="en-US" w:eastAsia="zh-CN"/>
        </w:rPr>
        <w:t>提出交房管理的整体观，致力于企业管理服务的预控优先+全面改善提升</w:t>
      </w:r>
    </w:p>
    <w:p>
      <w:pPr>
        <w:numPr>
          <w:ilvl w:val="0"/>
          <w:numId w:val="0"/>
        </w:numPr>
        <w:adjustRightInd w:val="0"/>
        <w:snapToGrid w:val="0"/>
        <w:ind w:left="840" w:leftChars="0"/>
        <w:rPr>
          <w:rFonts w:hint="default" w:ascii="华文细黑" w:hAnsi="华文细黑" w:eastAsia="华文细黑" w:cs="华文细黑"/>
          <w:b w:val="0"/>
          <w:bCs w:val="0"/>
          <w:szCs w:val="21"/>
          <w:lang w:val="en-US" w:eastAsia="zh-CN"/>
        </w:rPr>
      </w:pPr>
      <w:r>
        <w:rPr>
          <w:rFonts w:hint="eastAsia" w:ascii="华文细黑" w:hAnsi="华文细黑" w:eastAsia="华文细黑" w:cs="华文细黑"/>
          <w:b w:val="0"/>
          <w:bCs w:val="0"/>
          <w:szCs w:val="21"/>
          <w:lang w:val="en-US" w:eastAsia="zh-CN"/>
        </w:rPr>
        <w:t>指出行业交房工作的普遍短板，纠正干部员工对与交房工作的错误认识（例如：验收标准简陋、宁愿被动处理纠纷问题也不愿意或者无力加大前期风控，提升前期质量！）。</w:t>
      </w:r>
    </w:p>
    <w:p>
      <w:pPr>
        <w:numPr>
          <w:ilvl w:val="0"/>
          <w:numId w:val="0"/>
        </w:numPr>
        <w:adjustRightInd w:val="0"/>
        <w:snapToGrid w:val="0"/>
        <w:ind w:left="420" w:leftChars="0"/>
        <w:rPr>
          <w:rFonts w:hint="default" w:ascii="华文细黑" w:hAnsi="华文细黑" w:eastAsia="华文细黑" w:cs="华文细黑"/>
          <w:b/>
          <w:szCs w:val="21"/>
          <w:lang w:val="en-US" w:eastAsia="zh-CN"/>
        </w:rPr>
      </w:pPr>
      <w:r>
        <w:rPr>
          <w:rFonts w:hint="eastAsia" w:ascii="华文细黑" w:hAnsi="华文细黑" w:eastAsia="华文细黑" w:cs="华文细黑"/>
          <w:b/>
          <w:szCs w:val="21"/>
          <w:lang w:val="en-US" w:eastAsia="zh-CN"/>
        </w:rPr>
        <w:t xml:space="preserve">    </w:t>
      </w:r>
    </w:p>
    <w:p>
      <w:pPr>
        <w:numPr>
          <w:ilvl w:val="1"/>
          <w:numId w:val="1"/>
        </w:numPr>
        <w:adjustRightInd w:val="0"/>
        <w:snapToGrid w:val="0"/>
        <w:rPr>
          <w:rFonts w:hint="eastAsia" w:ascii="华文细黑" w:hAnsi="华文细黑" w:eastAsia="华文细黑" w:cs="华文细黑"/>
          <w:b/>
          <w:szCs w:val="21"/>
        </w:rPr>
      </w:pPr>
      <w:r>
        <w:rPr>
          <w:rFonts w:hint="eastAsia" w:ascii="华文细黑" w:hAnsi="华文细黑" w:eastAsia="华文细黑" w:cs="华文细黑"/>
          <w:b/>
          <w:szCs w:val="21"/>
        </w:rPr>
        <w:t>如何应对交房纠纷或风险冲突</w:t>
      </w:r>
      <w:r>
        <w:rPr>
          <w:rFonts w:hint="eastAsia" w:ascii="华文细黑" w:hAnsi="华文细黑" w:eastAsia="华文细黑" w:cs="华文细黑"/>
          <w:b/>
          <w:szCs w:val="21"/>
          <w:lang w:val="en-US" w:eastAsia="zh-CN"/>
        </w:rPr>
        <w:t xml:space="preserve">  约20分钟</w:t>
      </w:r>
    </w:p>
    <w:p>
      <w:pPr>
        <w:numPr>
          <w:ilvl w:val="2"/>
          <w:numId w:val="5"/>
        </w:numPr>
        <w:adjustRightInd w:val="0"/>
        <w:snapToGrid w:val="0"/>
        <w:rPr>
          <w:rFonts w:hint="eastAsia" w:ascii="华文细黑" w:hAnsi="华文细黑" w:eastAsia="华文细黑" w:cs="华文细黑"/>
          <w:szCs w:val="21"/>
        </w:rPr>
      </w:pPr>
      <w:r>
        <w:rPr>
          <w:rFonts w:hint="eastAsia" w:ascii="华文细黑" w:hAnsi="华文细黑" w:eastAsia="华文细黑" w:cs="华文细黑"/>
          <w:szCs w:val="21"/>
        </w:rPr>
        <w:t>交房成功需要系统管理</w:t>
      </w:r>
    </w:p>
    <w:p>
      <w:pPr>
        <w:numPr>
          <w:ilvl w:val="2"/>
          <w:numId w:val="5"/>
        </w:numPr>
        <w:adjustRightInd w:val="0"/>
        <w:snapToGrid w:val="0"/>
        <w:rPr>
          <w:rFonts w:hint="eastAsia" w:ascii="华文细黑" w:hAnsi="华文细黑" w:eastAsia="华文细黑" w:cs="华文细黑"/>
          <w:szCs w:val="21"/>
        </w:rPr>
      </w:pPr>
      <w:r>
        <w:rPr>
          <w:rFonts w:hint="eastAsia" w:ascii="华文细黑" w:hAnsi="华文细黑" w:eastAsia="华文细黑" w:cs="华文细黑"/>
          <w:szCs w:val="21"/>
        </w:rPr>
        <w:t>交房纠纷预防的常规方法</w:t>
      </w:r>
    </w:p>
    <w:p>
      <w:pPr>
        <w:numPr>
          <w:ilvl w:val="2"/>
          <w:numId w:val="5"/>
        </w:numPr>
        <w:adjustRightInd w:val="0"/>
        <w:snapToGrid w:val="0"/>
        <w:rPr>
          <w:rFonts w:hint="eastAsia" w:ascii="华文细黑" w:hAnsi="华文细黑" w:eastAsia="华文细黑" w:cs="华文细黑"/>
          <w:szCs w:val="21"/>
        </w:rPr>
      </w:pPr>
      <w:r>
        <w:rPr>
          <w:rFonts w:hint="eastAsia" w:ascii="华文细黑" w:hAnsi="华文细黑" w:eastAsia="华文细黑" w:cs="华文细黑"/>
          <w:szCs w:val="21"/>
        </w:rPr>
        <w:t>预研：棘手的交房纠纷场景及应对</w:t>
      </w:r>
    </w:p>
    <w:p>
      <w:pPr>
        <w:numPr>
          <w:ilvl w:val="0"/>
          <w:numId w:val="0"/>
        </w:numPr>
        <w:adjustRightInd w:val="0"/>
        <w:snapToGrid w:val="0"/>
        <w:ind w:left="840" w:leftChars="0"/>
        <w:rPr>
          <w:rFonts w:hint="default" w:ascii="华文细黑" w:hAnsi="华文细黑" w:eastAsia="华文细黑" w:cs="华文细黑"/>
          <w:szCs w:val="21"/>
          <w:lang w:val="en-US" w:eastAsia="zh-CN"/>
        </w:rPr>
      </w:pPr>
      <w:r>
        <w:rPr>
          <w:rFonts w:hint="eastAsia" w:ascii="华文细黑" w:hAnsi="华文细黑" w:eastAsia="华文细黑" w:cs="华文细黑"/>
          <w:szCs w:val="21"/>
          <w:lang w:val="en-US" w:eastAsia="zh-CN"/>
        </w:rPr>
        <w:t>--通过本章的研讨，大多数学员会发现自己的企业、项目、团队没有系统探讨、培训和演练过如何应对处理各种复杂客户投诉与纠纷的应对思路与措施。反映出系统观、知识、经验的短板，从而促进学员进一步学习的欲望和兴趣。</w:t>
      </w:r>
    </w:p>
    <w:p>
      <w:pPr>
        <w:numPr>
          <w:ilvl w:val="0"/>
          <w:numId w:val="0"/>
        </w:numPr>
        <w:adjustRightInd w:val="0"/>
        <w:snapToGrid w:val="0"/>
        <w:ind w:left="840" w:leftChars="0"/>
        <w:rPr>
          <w:rFonts w:hint="default" w:ascii="华文细黑" w:hAnsi="华文细黑" w:eastAsia="华文细黑" w:cs="华文细黑"/>
          <w:szCs w:val="21"/>
          <w:lang w:val="en-US" w:eastAsia="zh-CN"/>
        </w:rPr>
      </w:pPr>
    </w:p>
    <w:p>
      <w:pPr>
        <w:numPr>
          <w:ilvl w:val="1"/>
          <w:numId w:val="1"/>
        </w:numPr>
        <w:adjustRightInd w:val="0"/>
        <w:snapToGrid w:val="0"/>
        <w:rPr>
          <w:rFonts w:hint="eastAsia" w:ascii="华文细黑" w:hAnsi="华文细黑" w:eastAsia="华文细黑" w:cs="华文细黑"/>
          <w:bCs/>
          <w:szCs w:val="21"/>
        </w:rPr>
      </w:pPr>
      <w:r>
        <w:rPr>
          <w:rFonts w:hint="eastAsia" w:ascii="华文细黑" w:hAnsi="华文细黑" w:eastAsia="华文细黑" w:cs="华文细黑"/>
          <w:b/>
          <w:szCs w:val="21"/>
        </w:rPr>
        <w:t>掌握交房引发投诉风险的规律</w:t>
      </w:r>
      <w:r>
        <w:rPr>
          <w:rFonts w:hint="eastAsia" w:ascii="华文细黑" w:hAnsi="华文细黑" w:eastAsia="华文细黑" w:cs="华文细黑"/>
          <w:b/>
          <w:szCs w:val="21"/>
          <w:lang w:val="en-US" w:eastAsia="zh-CN"/>
        </w:rPr>
        <w:t xml:space="preserve">  约30分钟</w:t>
      </w:r>
    </w:p>
    <w:tbl>
      <w:tblPr>
        <w:tblStyle w:val="4"/>
        <w:tblW w:w="0" w:type="auto"/>
        <w:tblInd w:w="835" w:type="dxa"/>
        <w:tblLayout w:type="autofit"/>
        <w:tblCellMar>
          <w:top w:w="0" w:type="dxa"/>
          <w:left w:w="108" w:type="dxa"/>
          <w:bottom w:w="0" w:type="dxa"/>
          <w:right w:w="108" w:type="dxa"/>
        </w:tblCellMar>
      </w:tblPr>
      <w:tblGrid>
        <w:gridCol w:w="3707"/>
        <w:gridCol w:w="3686"/>
      </w:tblGrid>
      <w:tr>
        <w:tblPrEx>
          <w:tblCellMar>
            <w:top w:w="0" w:type="dxa"/>
            <w:left w:w="108" w:type="dxa"/>
            <w:bottom w:w="0" w:type="dxa"/>
            <w:right w:w="108" w:type="dxa"/>
          </w:tblCellMar>
        </w:tblPrEx>
        <w:tc>
          <w:tcPr>
            <w:tcW w:w="3707" w:type="dxa"/>
            <w:shd w:val="clear" w:color="auto" w:fill="auto"/>
          </w:tcPr>
          <w:p>
            <w:pPr>
              <w:numPr>
                <w:ilvl w:val="0"/>
                <w:numId w:val="6"/>
              </w:numPr>
              <w:adjustRightInd w:val="0"/>
              <w:snapToGrid w:val="0"/>
              <w:ind w:left="420" w:hanging="420" w:hangingChars="200"/>
              <w:rPr>
                <w:rFonts w:hint="eastAsia" w:ascii="华文细黑" w:hAnsi="华文细黑" w:eastAsia="华文细黑" w:cs="华文细黑"/>
                <w:bCs/>
                <w:szCs w:val="21"/>
              </w:rPr>
            </w:pPr>
            <w:r>
              <w:rPr>
                <w:rFonts w:hint="eastAsia" w:ascii="华文细黑" w:hAnsi="华文细黑" w:eastAsia="华文细黑" w:cs="华文细黑"/>
                <w:bCs/>
                <w:szCs w:val="21"/>
              </w:rPr>
              <w:t>纠纷发生的“因”与“缘”</w:t>
            </w:r>
          </w:p>
          <w:p>
            <w:pPr>
              <w:numPr>
                <w:ilvl w:val="0"/>
                <w:numId w:val="6"/>
              </w:numPr>
              <w:adjustRightInd w:val="0"/>
              <w:snapToGrid w:val="0"/>
              <w:ind w:left="420" w:hanging="420" w:hangingChars="200"/>
              <w:rPr>
                <w:rFonts w:hint="eastAsia" w:ascii="华文细黑" w:hAnsi="华文细黑" w:eastAsia="华文细黑" w:cs="华文细黑"/>
                <w:bCs/>
                <w:szCs w:val="21"/>
              </w:rPr>
            </w:pPr>
            <w:r>
              <w:rPr>
                <w:rFonts w:hint="eastAsia" w:ascii="华文细黑" w:hAnsi="华文细黑" w:eastAsia="华文细黑" w:cs="华文细黑"/>
                <w:bCs/>
                <w:szCs w:val="21"/>
              </w:rPr>
              <w:t>投诉客户的普遍心态与行为特征</w:t>
            </w:r>
          </w:p>
          <w:p>
            <w:pPr>
              <w:numPr>
                <w:ilvl w:val="0"/>
                <w:numId w:val="6"/>
              </w:numPr>
              <w:adjustRightInd w:val="0"/>
              <w:snapToGrid w:val="0"/>
              <w:ind w:left="420" w:hanging="420" w:hangingChars="200"/>
              <w:rPr>
                <w:rFonts w:hint="eastAsia" w:ascii="华文细黑" w:hAnsi="华文细黑" w:eastAsia="华文细黑" w:cs="华文细黑"/>
                <w:bCs/>
                <w:szCs w:val="21"/>
              </w:rPr>
            </w:pPr>
            <w:r>
              <w:rPr>
                <w:rFonts w:hint="eastAsia" w:ascii="华文细黑" w:hAnsi="华文细黑" w:eastAsia="华文细黑" w:cs="华文细黑"/>
                <w:bCs/>
                <w:szCs w:val="21"/>
              </w:rPr>
              <w:t>交房期客户投诉-纠纷的基本规律</w:t>
            </w:r>
          </w:p>
        </w:tc>
        <w:tc>
          <w:tcPr>
            <w:tcW w:w="3686" w:type="dxa"/>
            <w:shd w:val="clear" w:color="auto" w:fill="auto"/>
          </w:tcPr>
          <w:p>
            <w:pPr>
              <w:numPr>
                <w:ilvl w:val="0"/>
                <w:numId w:val="6"/>
              </w:numPr>
              <w:tabs>
                <w:tab w:val="left" w:pos="420"/>
              </w:tabs>
              <w:adjustRightInd w:val="0"/>
              <w:snapToGrid w:val="0"/>
              <w:ind w:left="199" w:hanging="199" w:hangingChars="95"/>
              <w:rPr>
                <w:rFonts w:hint="eastAsia" w:ascii="华文细黑" w:hAnsi="华文细黑" w:eastAsia="华文细黑" w:cs="华文细黑"/>
                <w:bCs/>
                <w:szCs w:val="21"/>
              </w:rPr>
            </w:pPr>
            <w:r>
              <w:rPr>
                <w:rFonts w:hint="eastAsia" w:ascii="华文细黑" w:hAnsi="华文细黑" w:eastAsia="华文细黑" w:cs="华文细黑"/>
                <w:bCs/>
                <w:szCs w:val="21"/>
              </w:rPr>
              <w:t>客户不满升级为冲突的演变模式</w:t>
            </w:r>
          </w:p>
          <w:p>
            <w:pPr>
              <w:numPr>
                <w:ilvl w:val="0"/>
                <w:numId w:val="6"/>
              </w:numPr>
              <w:tabs>
                <w:tab w:val="left" w:pos="420"/>
              </w:tabs>
              <w:adjustRightInd w:val="0"/>
              <w:snapToGrid w:val="0"/>
              <w:ind w:left="199" w:hanging="199" w:hangingChars="95"/>
              <w:rPr>
                <w:rFonts w:hint="eastAsia" w:ascii="华文细黑" w:hAnsi="华文细黑" w:eastAsia="华文细黑" w:cs="华文细黑"/>
                <w:bCs/>
                <w:szCs w:val="21"/>
              </w:rPr>
            </w:pPr>
            <w:r>
              <w:rPr>
                <w:rFonts w:hint="eastAsia" w:ascii="华文细黑" w:hAnsi="华文细黑" w:eastAsia="华文细黑" w:cs="华文细黑"/>
                <w:bCs/>
                <w:szCs w:val="21"/>
              </w:rPr>
              <w:t>交房投诉与风险管控的5大环节</w:t>
            </w:r>
          </w:p>
          <w:p>
            <w:pPr>
              <w:numPr>
                <w:ilvl w:val="0"/>
                <w:numId w:val="6"/>
              </w:numPr>
              <w:tabs>
                <w:tab w:val="left" w:pos="420"/>
              </w:tabs>
              <w:adjustRightInd w:val="0"/>
              <w:snapToGrid w:val="0"/>
              <w:ind w:left="199" w:hanging="199" w:hangingChars="95"/>
              <w:rPr>
                <w:rFonts w:hint="eastAsia" w:ascii="华文细黑" w:hAnsi="华文细黑" w:eastAsia="华文细黑" w:cs="华文细黑"/>
                <w:bCs/>
                <w:szCs w:val="21"/>
              </w:rPr>
            </w:pPr>
            <w:r>
              <w:rPr>
                <w:rFonts w:hint="eastAsia" w:ascii="华文细黑" w:hAnsi="华文细黑" w:eastAsia="华文细黑" w:cs="华文细黑"/>
                <w:bCs/>
                <w:szCs w:val="21"/>
              </w:rPr>
              <w:t>投诉与风险管控应对的核心原则</w:t>
            </w:r>
          </w:p>
        </w:tc>
      </w:tr>
    </w:tbl>
    <w:p>
      <w:pPr>
        <w:adjustRightInd w:val="0"/>
        <w:snapToGrid w:val="0"/>
        <w:rPr>
          <w:rFonts w:hint="eastAsia" w:ascii="华文细黑" w:hAnsi="华文细黑" w:eastAsia="华文细黑" w:cs="华文细黑"/>
          <w:bCs/>
          <w:szCs w:val="21"/>
        </w:rPr>
        <w:sectPr>
          <w:type w:val="continuous"/>
          <w:pgSz w:w="11907" w:h="16840"/>
          <w:pgMar w:top="1081" w:right="1134" w:bottom="1134" w:left="1134" w:header="851" w:footer="1055" w:gutter="0"/>
          <w:paperSrc w:first="7"/>
          <w:cols w:space="720" w:num="1"/>
          <w:docGrid w:type="lines" w:linePitch="312" w:charSpace="0"/>
        </w:sectPr>
      </w:pPr>
    </w:p>
    <w:p>
      <w:pPr>
        <w:numPr>
          <w:ilvl w:val="0"/>
          <w:numId w:val="0"/>
        </w:numPr>
        <w:adjustRightInd w:val="0"/>
        <w:snapToGrid w:val="0"/>
        <w:ind w:left="420" w:leftChars="0"/>
        <w:rPr>
          <w:rFonts w:hint="eastAsia" w:ascii="华文细黑" w:hAnsi="华文细黑" w:eastAsia="华文细黑" w:cs="华文细黑"/>
          <w:b w:val="0"/>
          <w:bCs/>
          <w:szCs w:val="21"/>
          <w:lang w:val="en-US" w:eastAsia="zh-CN"/>
        </w:rPr>
      </w:pPr>
      <w:r>
        <w:rPr>
          <w:rFonts w:hint="eastAsia" w:ascii="华文细黑" w:hAnsi="华文细黑" w:eastAsia="华文细黑" w:cs="华文细黑"/>
          <w:b/>
          <w:szCs w:val="21"/>
          <w:lang w:val="en-US" w:eastAsia="zh-CN"/>
        </w:rPr>
        <w:t xml:space="preserve">  </w:t>
      </w:r>
      <w:r>
        <w:rPr>
          <w:rFonts w:hint="eastAsia" w:ascii="华文细黑" w:hAnsi="华文细黑" w:eastAsia="华文细黑" w:cs="华文细黑"/>
          <w:b w:val="0"/>
          <w:bCs/>
          <w:szCs w:val="21"/>
          <w:lang w:val="en-US" w:eastAsia="zh-CN"/>
        </w:rPr>
        <w:t xml:space="preserve"> 本章是后面内容的基础，通过基本原理的解析，促进对后面具体方法的学习运用。</w:t>
      </w:r>
    </w:p>
    <w:p>
      <w:pPr>
        <w:numPr>
          <w:ilvl w:val="0"/>
          <w:numId w:val="0"/>
        </w:numPr>
        <w:adjustRightInd w:val="0"/>
        <w:snapToGrid w:val="0"/>
        <w:ind w:left="420" w:leftChars="0"/>
        <w:rPr>
          <w:rFonts w:hint="default" w:ascii="华文细黑" w:hAnsi="华文细黑" w:eastAsia="华文细黑" w:cs="华文细黑"/>
          <w:b w:val="0"/>
          <w:bCs/>
          <w:szCs w:val="21"/>
          <w:lang w:val="en-US" w:eastAsia="zh-CN"/>
        </w:rPr>
      </w:pPr>
    </w:p>
    <w:p>
      <w:pPr>
        <w:numPr>
          <w:ilvl w:val="1"/>
          <w:numId w:val="1"/>
        </w:numPr>
        <w:adjustRightInd w:val="0"/>
        <w:snapToGrid w:val="0"/>
        <w:rPr>
          <w:rFonts w:hint="eastAsia" w:ascii="华文细黑" w:hAnsi="华文细黑" w:eastAsia="华文细黑" w:cs="华文细黑"/>
          <w:b/>
          <w:szCs w:val="21"/>
        </w:rPr>
      </w:pPr>
      <w:r>
        <w:rPr>
          <w:rFonts w:hint="eastAsia" w:ascii="华文细黑" w:hAnsi="华文细黑" w:eastAsia="华文细黑" w:cs="华文细黑"/>
          <w:b/>
          <w:szCs w:val="21"/>
        </w:rPr>
        <w:t>交房投诉与风险管控实务（重点讲授内容）</w:t>
      </w:r>
    </w:p>
    <w:p>
      <w:pPr>
        <w:numPr>
          <w:ilvl w:val="0"/>
          <w:numId w:val="7"/>
        </w:numPr>
        <w:adjustRightInd w:val="0"/>
        <w:snapToGrid w:val="0"/>
        <w:ind w:left="420" w:firstLine="420" w:firstLineChars="200"/>
        <w:rPr>
          <w:rFonts w:hint="eastAsia" w:ascii="华文细黑" w:hAnsi="华文细黑" w:eastAsia="华文细黑" w:cs="华文细黑"/>
          <w:szCs w:val="21"/>
        </w:rPr>
      </w:pPr>
      <w:r>
        <w:rPr>
          <w:rFonts w:hint="eastAsia" w:ascii="华文细黑" w:hAnsi="华文细黑" w:eastAsia="华文细黑" w:cs="华文细黑"/>
          <w:szCs w:val="21"/>
        </w:rPr>
        <w:t>风险预控期：</w:t>
      </w:r>
      <w:r>
        <w:rPr>
          <w:rFonts w:hint="eastAsia" w:ascii="华文细黑" w:hAnsi="华文细黑" w:eastAsia="华文细黑" w:cs="华文细黑"/>
          <w:b/>
          <w:bCs/>
          <w:szCs w:val="21"/>
          <w:lang w:val="en-US" w:eastAsia="zh-CN"/>
        </w:rPr>
        <w:t xml:space="preserve"> 约1.5小时</w:t>
      </w:r>
    </w:p>
    <w:p>
      <w:pPr>
        <w:adjustRightInd w:val="0"/>
        <w:snapToGrid w:val="0"/>
        <w:ind w:left="420" w:leftChars="200" w:firstLine="420" w:firstLineChars="200"/>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涉及</w:t>
      </w:r>
      <w:r>
        <w:rPr>
          <w:rFonts w:hint="eastAsia" w:ascii="华文细黑" w:hAnsi="华文细黑" w:eastAsia="华文细黑" w:cs="华文细黑"/>
          <w:szCs w:val="21"/>
        </w:rPr>
        <w:t>组建风险管理机构、落实</w:t>
      </w:r>
      <w:r>
        <w:rPr>
          <w:rFonts w:hint="eastAsia" w:ascii="华文细黑" w:hAnsi="华文细黑" w:eastAsia="华文细黑" w:cs="华文细黑"/>
          <w:szCs w:val="21"/>
          <w:lang w:val="en-US" w:eastAsia="zh-CN"/>
        </w:rPr>
        <w:t>相关</w:t>
      </w:r>
      <w:r>
        <w:rPr>
          <w:rFonts w:hint="eastAsia" w:ascii="华文细黑" w:hAnsi="华文细黑" w:eastAsia="华文细黑" w:cs="华文细黑"/>
          <w:szCs w:val="21"/>
        </w:rPr>
        <w:t>责任、</w:t>
      </w:r>
      <w:r>
        <w:rPr>
          <w:rFonts w:hint="eastAsia" w:ascii="华文细黑" w:hAnsi="华文细黑" w:eastAsia="华文细黑" w:cs="华文细黑"/>
          <w:szCs w:val="21"/>
          <w:lang w:val="en-US" w:eastAsia="zh-CN"/>
        </w:rPr>
        <w:t>实施</w:t>
      </w:r>
      <w:r>
        <w:rPr>
          <w:rFonts w:hint="eastAsia" w:ascii="华文细黑" w:hAnsi="华文细黑" w:eastAsia="华文细黑" w:cs="华文细黑"/>
          <w:szCs w:val="21"/>
        </w:rPr>
        <w:t>细致</w:t>
      </w:r>
      <w:r>
        <w:rPr>
          <w:rFonts w:hint="eastAsia" w:ascii="华文细黑" w:hAnsi="华文细黑" w:eastAsia="华文细黑" w:cs="华文细黑"/>
          <w:szCs w:val="21"/>
          <w:lang w:val="en-US" w:eastAsia="zh-CN"/>
        </w:rPr>
        <w:t>的风险</w:t>
      </w:r>
      <w:r>
        <w:rPr>
          <w:rFonts w:hint="eastAsia" w:ascii="华文细黑" w:hAnsi="华文细黑" w:eastAsia="华文细黑" w:cs="华文细黑"/>
          <w:szCs w:val="21"/>
        </w:rPr>
        <w:t>排查、隐患整改等管控操作要点与案例；</w:t>
      </w:r>
    </w:p>
    <w:p>
      <w:pPr>
        <w:adjustRightInd w:val="0"/>
        <w:snapToGrid w:val="0"/>
        <w:ind w:left="420" w:leftChars="200" w:firstLine="420" w:firstLineChars="200"/>
        <w:rPr>
          <w:rFonts w:hint="eastAsia" w:ascii="华文细黑" w:hAnsi="华文细黑" w:eastAsia="华文细黑" w:cs="华文细黑"/>
          <w:szCs w:val="21"/>
          <w:lang w:val="en-US" w:eastAsia="zh-CN"/>
        </w:rPr>
      </w:pPr>
      <w:r>
        <w:rPr>
          <w:rFonts w:hint="eastAsia" w:ascii="华文细黑" w:hAnsi="华文细黑" w:eastAsia="华文细黑" w:cs="华文细黑"/>
          <w:szCs w:val="21"/>
          <w:lang w:val="en-US" w:eastAsia="zh-CN"/>
        </w:rPr>
        <w:t>解读企业普遍的误区：</w:t>
      </w:r>
    </w:p>
    <w:p>
      <w:pPr>
        <w:numPr>
          <w:ilvl w:val="0"/>
          <w:numId w:val="8"/>
        </w:numPr>
        <w:adjustRightInd w:val="0"/>
        <w:snapToGrid w:val="0"/>
        <w:ind w:left="1685" w:leftChars="0" w:hanging="425" w:firstLineChars="0"/>
        <w:rPr>
          <w:rFonts w:hint="default" w:ascii="华文细黑" w:hAnsi="华文细黑" w:eastAsia="华文细黑" w:cs="华文细黑"/>
          <w:szCs w:val="21"/>
          <w:lang w:val="en-US" w:eastAsia="zh-CN"/>
        </w:rPr>
      </w:pPr>
      <w:r>
        <w:rPr>
          <w:rFonts w:hint="eastAsia" w:ascii="华文细黑" w:hAnsi="华文细黑" w:eastAsia="华文细黑" w:cs="华文细黑"/>
          <w:szCs w:val="21"/>
          <w:lang w:val="en-US" w:eastAsia="zh-CN"/>
        </w:rPr>
        <w:t>交房组织与风控权威不够</w:t>
      </w:r>
    </w:p>
    <w:p>
      <w:pPr>
        <w:numPr>
          <w:ilvl w:val="0"/>
          <w:numId w:val="8"/>
        </w:numPr>
        <w:adjustRightInd w:val="0"/>
        <w:snapToGrid w:val="0"/>
        <w:ind w:left="1685" w:leftChars="0" w:hanging="425" w:firstLineChars="0"/>
        <w:rPr>
          <w:rFonts w:hint="default" w:ascii="华文细黑" w:hAnsi="华文细黑" w:eastAsia="华文细黑" w:cs="华文细黑"/>
          <w:szCs w:val="21"/>
          <w:lang w:val="en-US" w:eastAsia="zh-CN"/>
        </w:rPr>
      </w:pPr>
      <w:r>
        <w:rPr>
          <w:rFonts w:hint="eastAsia" w:ascii="华文细黑" w:hAnsi="华文细黑" w:eastAsia="华文细黑" w:cs="华文细黑"/>
          <w:szCs w:val="21"/>
          <w:lang w:val="en-US" w:eastAsia="zh-CN"/>
        </w:rPr>
        <w:t>风险排查粗略、漏项</w:t>
      </w:r>
    </w:p>
    <w:p>
      <w:pPr>
        <w:numPr>
          <w:ilvl w:val="0"/>
          <w:numId w:val="8"/>
        </w:numPr>
        <w:adjustRightInd w:val="0"/>
        <w:snapToGrid w:val="0"/>
        <w:ind w:left="1685" w:leftChars="0" w:hanging="425" w:firstLineChars="0"/>
        <w:rPr>
          <w:rFonts w:hint="default" w:ascii="华文细黑" w:hAnsi="华文细黑" w:eastAsia="华文细黑" w:cs="华文细黑"/>
          <w:szCs w:val="21"/>
          <w:lang w:val="en-US" w:eastAsia="zh-CN"/>
        </w:rPr>
      </w:pPr>
      <w:r>
        <w:rPr>
          <w:rFonts w:hint="eastAsia" w:ascii="华文细黑" w:hAnsi="华文细黑" w:eastAsia="华文细黑" w:cs="华文细黑"/>
          <w:szCs w:val="21"/>
          <w:lang w:val="en-US" w:eastAsia="zh-CN"/>
        </w:rPr>
        <w:t>隐患整改滞后马虎</w:t>
      </w:r>
    </w:p>
    <w:p>
      <w:pPr>
        <w:numPr>
          <w:ilvl w:val="0"/>
          <w:numId w:val="8"/>
        </w:numPr>
        <w:adjustRightInd w:val="0"/>
        <w:snapToGrid w:val="0"/>
        <w:ind w:left="1685" w:leftChars="0" w:hanging="425" w:firstLineChars="0"/>
        <w:rPr>
          <w:rFonts w:hint="default" w:ascii="华文细黑" w:hAnsi="华文细黑" w:eastAsia="华文细黑" w:cs="华文细黑"/>
          <w:szCs w:val="21"/>
          <w:lang w:val="en-US" w:eastAsia="zh-CN"/>
        </w:rPr>
      </w:pPr>
      <w:r>
        <w:rPr>
          <w:rFonts w:hint="eastAsia" w:ascii="华文细黑" w:hAnsi="华文细黑" w:eastAsia="华文细黑" w:cs="华文细黑"/>
          <w:szCs w:val="21"/>
          <w:lang w:val="en-US" w:eastAsia="zh-CN"/>
        </w:rPr>
        <w:t>客群关系肤浅</w:t>
      </w:r>
    </w:p>
    <w:p>
      <w:pPr>
        <w:numPr>
          <w:ilvl w:val="0"/>
          <w:numId w:val="8"/>
        </w:numPr>
        <w:adjustRightInd w:val="0"/>
        <w:snapToGrid w:val="0"/>
        <w:ind w:left="1685" w:leftChars="0" w:hanging="425" w:firstLineChars="0"/>
        <w:rPr>
          <w:rFonts w:hint="default" w:ascii="华文细黑" w:hAnsi="华文细黑" w:eastAsia="华文细黑" w:cs="华文细黑"/>
          <w:szCs w:val="21"/>
          <w:lang w:val="en-US" w:eastAsia="zh-CN"/>
        </w:rPr>
      </w:pPr>
      <w:r>
        <w:rPr>
          <w:rFonts w:hint="eastAsia" w:ascii="华文细黑" w:hAnsi="华文细黑" w:eastAsia="华文细黑" w:cs="华文细黑"/>
          <w:szCs w:val="21"/>
          <w:lang w:val="en-US" w:eastAsia="zh-CN"/>
        </w:rPr>
        <w:t>...</w:t>
      </w:r>
    </w:p>
    <w:p>
      <w:pPr>
        <w:numPr>
          <w:ilvl w:val="0"/>
          <w:numId w:val="7"/>
        </w:numPr>
        <w:adjustRightInd w:val="0"/>
        <w:snapToGrid w:val="0"/>
        <w:ind w:left="420" w:firstLine="420" w:firstLineChars="200"/>
        <w:rPr>
          <w:rFonts w:hint="eastAsia" w:ascii="华文细黑" w:hAnsi="华文细黑" w:eastAsia="华文细黑" w:cs="华文细黑"/>
          <w:szCs w:val="21"/>
        </w:rPr>
      </w:pPr>
      <w:r>
        <w:rPr>
          <w:rFonts w:hint="eastAsia" w:ascii="华文细黑" w:hAnsi="华文细黑" w:eastAsia="华文细黑" w:cs="华文细黑"/>
          <w:szCs w:val="21"/>
        </w:rPr>
        <w:t>投诉风险酝酿期：</w:t>
      </w:r>
      <w:r>
        <w:rPr>
          <w:rFonts w:hint="eastAsia" w:ascii="华文细黑" w:hAnsi="华文细黑" w:eastAsia="华文细黑" w:cs="华文细黑"/>
          <w:b/>
          <w:bCs/>
          <w:szCs w:val="21"/>
          <w:lang w:val="en-US" w:eastAsia="zh-CN"/>
        </w:rPr>
        <w:t>约1小时</w:t>
      </w:r>
    </w:p>
    <w:p>
      <w:pPr>
        <w:numPr>
          <w:ilvl w:val="0"/>
          <w:numId w:val="0"/>
        </w:numPr>
        <w:adjustRightInd w:val="0"/>
        <w:snapToGrid w:val="0"/>
        <w:ind w:leftChars="200" w:firstLine="420" w:firstLineChars="200"/>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涉及投诉酝酿期的</w:t>
      </w:r>
      <w:r>
        <w:rPr>
          <w:rFonts w:hint="eastAsia" w:ascii="华文细黑" w:hAnsi="华文细黑" w:eastAsia="华文细黑" w:cs="华文细黑"/>
          <w:szCs w:val="21"/>
        </w:rPr>
        <w:t>规律、应对处置的要点、方法和案例；</w:t>
      </w:r>
    </w:p>
    <w:p>
      <w:pPr>
        <w:numPr>
          <w:ilvl w:val="0"/>
          <w:numId w:val="0"/>
        </w:numPr>
        <w:adjustRightInd w:val="0"/>
        <w:snapToGrid w:val="0"/>
        <w:ind w:leftChars="200" w:firstLine="420" w:firstLineChars="200"/>
        <w:rPr>
          <w:rFonts w:hint="default" w:ascii="华文细黑" w:hAnsi="华文细黑" w:eastAsia="华文细黑" w:cs="华文细黑"/>
          <w:szCs w:val="21"/>
          <w:lang w:val="en-US" w:eastAsia="zh-CN"/>
        </w:rPr>
      </w:pPr>
      <w:r>
        <w:rPr>
          <w:rFonts w:hint="eastAsia" w:ascii="华文细黑" w:hAnsi="华文细黑" w:eastAsia="华文细黑" w:cs="华文细黑"/>
          <w:szCs w:val="21"/>
          <w:lang w:val="en-US" w:eastAsia="zh-CN"/>
        </w:rPr>
        <w:t xml:space="preserve">同时对比揭示出行业的普遍短板：缺乏敏感度、内外部沟通不力等...    </w:t>
      </w:r>
    </w:p>
    <w:p>
      <w:pPr>
        <w:numPr>
          <w:ilvl w:val="0"/>
          <w:numId w:val="7"/>
        </w:numPr>
        <w:adjustRightInd w:val="0"/>
        <w:snapToGrid w:val="0"/>
        <w:ind w:left="420" w:firstLine="420" w:firstLineChars="200"/>
        <w:rPr>
          <w:rFonts w:hint="eastAsia" w:ascii="华文细黑" w:hAnsi="华文细黑" w:eastAsia="华文细黑" w:cs="华文细黑"/>
          <w:szCs w:val="21"/>
        </w:rPr>
      </w:pPr>
      <w:r>
        <w:rPr>
          <w:rFonts w:hint="eastAsia" w:ascii="华文细黑" w:hAnsi="华文细黑" w:eastAsia="华文细黑" w:cs="华文细黑"/>
          <w:szCs w:val="21"/>
        </w:rPr>
        <w:t>爆发期</w:t>
      </w:r>
      <w:r>
        <w:rPr>
          <w:rFonts w:hint="eastAsia" w:ascii="华文细黑" w:hAnsi="华文细黑" w:eastAsia="华文细黑" w:cs="华文细黑"/>
          <w:szCs w:val="21"/>
          <w:lang w:val="en-US" w:eastAsia="zh-CN"/>
        </w:rPr>
        <w:t>处置应对</w:t>
      </w:r>
      <w:r>
        <w:rPr>
          <w:rFonts w:hint="eastAsia" w:ascii="华文细黑" w:hAnsi="华文细黑" w:eastAsia="华文细黑" w:cs="华文细黑"/>
          <w:szCs w:val="21"/>
        </w:rPr>
        <w:t>：</w:t>
      </w:r>
      <w:r>
        <w:rPr>
          <w:rFonts w:hint="eastAsia" w:ascii="华文细黑" w:hAnsi="华文细黑" w:eastAsia="华文细黑" w:cs="华文细黑"/>
          <w:szCs w:val="21"/>
          <w:lang w:val="en-US" w:eastAsia="zh-CN"/>
        </w:rPr>
        <w:t xml:space="preserve">重点内容  </w:t>
      </w:r>
      <w:bookmarkStart w:id="2" w:name="_GoBack"/>
      <w:bookmarkEnd w:id="2"/>
      <w:r>
        <w:rPr>
          <w:rFonts w:hint="eastAsia" w:ascii="华文细黑" w:hAnsi="华文细黑" w:eastAsia="华文细黑" w:cs="华文细黑"/>
          <w:b/>
          <w:bCs/>
          <w:szCs w:val="21"/>
          <w:lang w:val="en-US" w:eastAsia="zh-CN"/>
        </w:rPr>
        <w:t>约2-2.5小时</w:t>
      </w:r>
    </w:p>
    <w:p>
      <w:pPr>
        <w:numPr>
          <w:ilvl w:val="0"/>
          <w:numId w:val="0"/>
        </w:numPr>
        <w:adjustRightInd w:val="0"/>
        <w:snapToGrid w:val="0"/>
        <w:ind w:leftChars="200" w:firstLine="420" w:firstLineChars="200"/>
        <w:rPr>
          <w:rFonts w:hint="eastAsia" w:ascii="华文细黑" w:hAnsi="华文细黑" w:eastAsia="华文细黑" w:cs="华文细黑"/>
          <w:szCs w:val="21"/>
        </w:rPr>
      </w:pPr>
      <w:r>
        <w:rPr>
          <w:rFonts w:hint="eastAsia" w:ascii="华文细黑" w:hAnsi="华文细黑" w:eastAsia="华文细黑" w:cs="华文细黑"/>
          <w:szCs w:val="21"/>
        </w:rPr>
        <w:t>纠纷爆发的规律及应对要点、案例（包括冲突信号的识别、群体冲突的客户心理及行为特征、群体冲突应对处置原则方法、</w:t>
      </w:r>
      <w:r>
        <w:rPr>
          <w:rFonts w:hint="eastAsia" w:ascii="华文细黑" w:hAnsi="华文细黑" w:eastAsia="华文细黑" w:cs="华文细黑"/>
          <w:szCs w:val="21"/>
          <w:lang w:val="en-US" w:eastAsia="zh-CN"/>
        </w:rPr>
        <w:t>房闹的应对整体原则及步骤、</w:t>
      </w:r>
      <w:r>
        <w:rPr>
          <w:rFonts w:hint="eastAsia" w:ascii="华文细黑" w:hAnsi="华文细黑" w:eastAsia="华文细黑" w:cs="华文细黑"/>
          <w:szCs w:val="21"/>
        </w:rPr>
        <w:t>媒体有效应对等）</w:t>
      </w:r>
    </w:p>
    <w:p>
      <w:pPr>
        <w:numPr>
          <w:ilvl w:val="0"/>
          <w:numId w:val="0"/>
        </w:numPr>
        <w:adjustRightInd w:val="0"/>
        <w:snapToGrid w:val="0"/>
        <w:ind w:leftChars="200" w:firstLine="420" w:firstLineChars="200"/>
        <w:rPr>
          <w:rFonts w:hint="default" w:ascii="华文细黑" w:hAnsi="华文细黑" w:eastAsia="华文细黑" w:cs="华文细黑"/>
          <w:szCs w:val="21"/>
          <w:lang w:val="en-US" w:eastAsia="zh-CN"/>
        </w:rPr>
      </w:pPr>
      <w:r>
        <w:rPr>
          <w:rFonts w:hint="eastAsia" w:ascii="华文细黑" w:hAnsi="华文细黑" w:eastAsia="华文细黑" w:cs="华文细黑"/>
          <w:szCs w:val="21"/>
          <w:lang w:val="en-US" w:eastAsia="zh-CN"/>
        </w:rPr>
        <w:t>大量案例研讨，不仅对学员实施面对群诉的心理建设、更是解读千变万化技巧方法后面的根本方法论。许多经验丰富的学员反映：明显提升了应对投诉工作的系统性思维与方法的多样性。</w:t>
      </w:r>
    </w:p>
    <w:p>
      <w:pPr>
        <w:numPr>
          <w:ilvl w:val="0"/>
          <w:numId w:val="7"/>
        </w:numPr>
        <w:adjustRightInd w:val="0"/>
        <w:snapToGrid w:val="0"/>
        <w:ind w:left="420" w:firstLine="420" w:firstLineChars="200"/>
        <w:rPr>
          <w:rFonts w:hint="eastAsia" w:ascii="华文细黑" w:hAnsi="华文细黑" w:eastAsia="华文细黑" w:cs="华文细黑"/>
          <w:b/>
          <w:bCs/>
          <w:kern w:val="0"/>
          <w:szCs w:val="21"/>
        </w:rPr>
      </w:pPr>
      <w:r>
        <w:rPr>
          <w:rFonts w:hint="eastAsia" w:ascii="华文细黑" w:hAnsi="华文细黑" w:eastAsia="华文细黑" w:cs="华文细黑"/>
          <w:szCs w:val="21"/>
        </w:rPr>
        <w:t>纠纷处置转化期及善后期工作要点。</w:t>
      </w:r>
      <w:r>
        <w:rPr>
          <w:rFonts w:hint="eastAsia" w:ascii="华文细黑" w:hAnsi="华文细黑" w:eastAsia="华文细黑" w:cs="华文细黑"/>
          <w:b/>
          <w:bCs/>
          <w:szCs w:val="21"/>
          <w:lang w:val="en-US" w:eastAsia="zh-CN"/>
        </w:rPr>
        <w:t>约0.5小时</w:t>
      </w:r>
    </w:p>
    <w:p>
      <w:pPr>
        <w:numPr>
          <w:ilvl w:val="0"/>
          <w:numId w:val="0"/>
        </w:numPr>
        <w:adjustRightInd w:val="0"/>
        <w:snapToGrid w:val="0"/>
        <w:ind w:leftChars="200"/>
        <w:rPr>
          <w:rFonts w:hint="eastAsia" w:ascii="华文细黑" w:hAnsi="华文细黑" w:eastAsia="华文细黑" w:cs="华文细黑"/>
          <w:b/>
          <w:bCs/>
          <w:kern w:val="0"/>
          <w:szCs w:val="21"/>
        </w:rPr>
      </w:pPr>
    </w:p>
    <w:p>
      <w:pPr>
        <w:numPr>
          <w:ilvl w:val="1"/>
          <w:numId w:val="1"/>
        </w:numPr>
        <w:adjustRightInd w:val="0"/>
        <w:snapToGrid w:val="0"/>
        <w:rPr>
          <w:rFonts w:hint="eastAsia" w:ascii="华文细黑" w:hAnsi="华文细黑" w:eastAsia="华文细黑" w:cs="华文细黑"/>
          <w:b/>
          <w:bCs/>
          <w:kern w:val="0"/>
          <w:szCs w:val="21"/>
        </w:rPr>
      </w:pPr>
      <w:r>
        <w:rPr>
          <w:rFonts w:hint="eastAsia" w:ascii="华文细黑" w:hAnsi="华文细黑" w:eastAsia="华文细黑" w:cs="华文细黑"/>
          <w:b/>
          <w:bCs/>
          <w:kern w:val="0"/>
          <w:szCs w:val="21"/>
        </w:rPr>
        <w:t>研讨：我们企业需要完善提升的方面</w:t>
      </w:r>
    </w:p>
    <w:p>
      <w:pPr>
        <w:numPr>
          <w:ilvl w:val="0"/>
          <w:numId w:val="0"/>
        </w:numPr>
        <w:adjustRightInd w:val="0"/>
        <w:snapToGrid w:val="0"/>
        <w:ind w:left="420" w:leftChars="200" w:firstLine="420" w:firstLineChars="200"/>
        <w:rPr>
          <w:rFonts w:hint="eastAsia" w:ascii="华文细黑" w:hAnsi="华文细黑" w:eastAsia="华文细黑" w:cs="华文细黑"/>
          <w:b w:val="0"/>
          <w:bCs w:val="0"/>
          <w:kern w:val="0"/>
          <w:szCs w:val="21"/>
          <w:lang w:val="en-US" w:eastAsia="zh-CN"/>
        </w:rPr>
      </w:pPr>
      <w:r>
        <w:rPr>
          <w:rFonts w:hint="eastAsia" w:ascii="华文细黑" w:hAnsi="华文细黑" w:eastAsia="华文细黑" w:cs="华文细黑"/>
          <w:b w:val="0"/>
          <w:bCs w:val="0"/>
          <w:kern w:val="0"/>
          <w:szCs w:val="21"/>
          <w:lang w:val="en-US" w:eastAsia="zh-CN"/>
        </w:rPr>
        <w:t>企业提升学以致用转化的途径：每个章节老师会提示学员总结学习感悟，创意借鉴改善措施。培训组织机构可以把学员的创意用“即时贴”汇总展示并给分，促进学员创意及分享。</w:t>
      </w:r>
    </w:p>
    <w:p>
      <w:pPr>
        <w:numPr>
          <w:ilvl w:val="0"/>
          <w:numId w:val="0"/>
        </w:numPr>
        <w:adjustRightInd w:val="0"/>
        <w:snapToGrid w:val="0"/>
        <w:ind w:left="420" w:leftChars="200" w:firstLine="420" w:firstLineChars="200"/>
        <w:rPr>
          <w:rFonts w:hint="default" w:ascii="华文细黑" w:hAnsi="华文细黑" w:eastAsia="华文细黑" w:cs="华文细黑"/>
          <w:b w:val="0"/>
          <w:bCs w:val="0"/>
          <w:kern w:val="0"/>
          <w:szCs w:val="21"/>
          <w:lang w:val="en-US" w:eastAsia="zh-CN"/>
        </w:rPr>
      </w:pPr>
      <w:r>
        <w:rPr>
          <w:rFonts w:hint="eastAsia" w:ascii="华文细黑" w:hAnsi="华文细黑" w:eastAsia="华文细黑" w:cs="华文细黑"/>
          <w:b w:val="0"/>
          <w:bCs w:val="0"/>
          <w:kern w:val="0"/>
          <w:szCs w:val="21"/>
          <w:lang w:val="en-US" w:eastAsia="zh-CN"/>
        </w:rPr>
        <w:t>课后，相关部门领导及时汇总梳理出必要的改善措施，分配责任，配合激励措施，鼓励相关部门学员落地实践。定期跟踪总结表彰，从而推动管理改善提高。</w:t>
      </w:r>
    </w:p>
    <w:p>
      <w:pPr>
        <w:adjustRightInd w:val="0"/>
        <w:snapToGrid w:val="0"/>
        <w:rPr>
          <w:rFonts w:hint="eastAsia" w:ascii="华文细黑" w:hAnsi="华文细黑" w:eastAsia="华文细黑" w:cs="华文细黑"/>
          <w:b/>
          <w:szCs w:val="21"/>
        </w:rPr>
      </w:pPr>
    </w:p>
    <w:p>
      <w:pPr>
        <w:adjustRightInd w:val="0"/>
        <w:snapToGrid w:val="0"/>
        <w:rPr>
          <w:rFonts w:hint="eastAsia" w:ascii="华文细黑" w:hAnsi="华文细黑" w:eastAsia="华文细黑" w:cs="华文细黑"/>
        </w:rPr>
      </w:pPr>
      <w:r>
        <w:rPr>
          <w:rFonts w:hint="eastAsia" w:ascii="华文细黑" w:hAnsi="华文细黑" w:eastAsia="华文细黑" w:cs="华文细黑"/>
          <w:b/>
          <w:sz w:val="24"/>
        </w:rPr>
        <w:t>部分学员感受反馈：</w:t>
      </w:r>
      <w:r>
        <w:rPr>
          <w:rFonts w:hint="eastAsia" w:ascii="华文细黑" w:hAnsi="华文细黑" w:eastAsia="华文细黑" w:cs="华文细黑"/>
        </w:rPr>
        <w:t>       </w:t>
      </w:r>
    </w:p>
    <w:p>
      <w:pPr>
        <w:numPr>
          <w:ilvl w:val="0"/>
          <w:numId w:val="9"/>
        </w:numPr>
        <w:adjustRightInd w:val="0"/>
        <w:snapToGrid w:val="0"/>
        <w:rPr>
          <w:rFonts w:hint="eastAsia" w:ascii="华文细黑" w:hAnsi="华文细黑" w:eastAsia="华文细黑" w:cs="华文细黑"/>
        </w:rPr>
      </w:pPr>
      <w:r>
        <w:rPr>
          <w:rFonts w:hint="eastAsia" w:ascii="华文细黑" w:hAnsi="华文细黑" w:eastAsia="华文细黑" w:cs="华文细黑"/>
        </w:rPr>
        <w:t>系统的讲解了从交房前到交房后业主投诉产生的原因，到最终如何从根本上减少交房风险，提高企业的形象，业主满意度。我们单位也有相应的体系，但较标杆企业来讲有一定差距，还需继续积累。</w:t>
      </w:r>
    </w:p>
    <w:p>
      <w:pPr>
        <w:numPr>
          <w:ilvl w:val="0"/>
          <w:numId w:val="9"/>
        </w:numPr>
        <w:adjustRightInd w:val="0"/>
        <w:snapToGrid w:val="0"/>
        <w:rPr>
          <w:rFonts w:hint="eastAsia" w:ascii="华文细黑" w:hAnsi="华文细黑" w:eastAsia="华文细黑" w:cs="华文细黑"/>
        </w:rPr>
      </w:pPr>
      <w:r>
        <w:rPr>
          <w:rFonts w:hint="eastAsia" w:ascii="华文细黑" w:hAnsi="华文细黑" w:eastAsia="华文细黑" w:cs="华文细黑"/>
        </w:rPr>
        <w:t>系统学习了交房纠纷和风险应对，以及如何预防、避免等，课程实用，易懂。</w:t>
      </w:r>
    </w:p>
    <w:p>
      <w:pPr>
        <w:numPr>
          <w:ilvl w:val="0"/>
          <w:numId w:val="9"/>
        </w:numPr>
        <w:adjustRightInd w:val="0"/>
        <w:snapToGrid w:val="0"/>
        <w:rPr>
          <w:rFonts w:hint="eastAsia" w:ascii="华文细黑" w:hAnsi="华文细黑" w:eastAsia="华文细黑" w:cs="华文细黑"/>
        </w:rPr>
      </w:pPr>
      <w:r>
        <w:rPr>
          <w:rFonts w:hint="eastAsia" w:ascii="华文细黑" w:hAnsi="华文细黑" w:eastAsia="华文细黑" w:cs="华文细黑"/>
        </w:rPr>
        <w:t>通过孙老师的讲授，学到了：如何做到情、理、法有效的把握，有机的结合；流程化管理如何细化，落实到点等方面的知识。形象、生动，案例切合实际，易于理解、接受。</w:t>
      </w:r>
    </w:p>
    <w:p>
      <w:pPr>
        <w:numPr>
          <w:ilvl w:val="0"/>
          <w:numId w:val="9"/>
        </w:numPr>
        <w:adjustRightInd w:val="0"/>
        <w:snapToGrid w:val="0"/>
        <w:rPr>
          <w:rFonts w:hint="eastAsia" w:ascii="华文细黑" w:hAnsi="华文细黑" w:eastAsia="华文细黑" w:cs="华文细黑"/>
        </w:rPr>
      </w:pPr>
      <w:r>
        <w:rPr>
          <w:rFonts w:hint="eastAsia" w:ascii="华文细黑" w:hAnsi="华文细黑" w:eastAsia="华文细黑" w:cs="华文细黑"/>
        </w:rPr>
        <w:t>通过学习，了解了如何规避风险、应对风险，结合情理法，系统的把交房前中后的风险问题如何解决，并能结合案例，非常有效，受益匪浅。</w:t>
      </w:r>
    </w:p>
    <w:p>
      <w:pPr>
        <w:numPr>
          <w:ilvl w:val="0"/>
          <w:numId w:val="9"/>
        </w:numPr>
        <w:adjustRightInd w:val="0"/>
        <w:snapToGrid w:val="0"/>
        <w:rPr>
          <w:rFonts w:hint="eastAsia" w:ascii="华文细黑" w:hAnsi="华文细黑" w:eastAsia="华文细黑" w:cs="华文细黑"/>
        </w:rPr>
      </w:pPr>
      <w:r>
        <w:rPr>
          <w:rFonts w:hint="eastAsia" w:ascii="华文细黑" w:hAnsi="华文细黑" w:eastAsia="华文细黑" w:cs="华文细黑"/>
        </w:rPr>
        <w:t>房地产开发是一个系统工作，每个环节都要认真、正确对待，抓各部门的管理，认真对业主提出来的问题，及时进行改进。</w:t>
      </w:r>
    </w:p>
    <w:p>
      <w:pPr>
        <w:numPr>
          <w:ilvl w:val="0"/>
          <w:numId w:val="9"/>
        </w:numPr>
        <w:adjustRightInd w:val="0"/>
        <w:snapToGrid w:val="0"/>
        <w:rPr>
          <w:rFonts w:hint="eastAsia" w:ascii="华文细黑" w:hAnsi="华文细黑" w:eastAsia="华文细黑" w:cs="华文细黑"/>
        </w:rPr>
      </w:pPr>
      <w:r>
        <w:rPr>
          <w:rFonts w:hint="eastAsia" w:ascii="华文细黑" w:hAnsi="华文细黑" w:eastAsia="华文细黑" w:cs="华文细黑"/>
        </w:rPr>
        <w:t>学会处理交房过程中不同业主之间的沟通、协调，如何解决完成对“钉子户”之类客户的应对；对“国家规范”和“客户要求”有新认识。</w:t>
      </w:r>
    </w:p>
    <w:p>
      <w:pPr>
        <w:numPr>
          <w:ilvl w:val="0"/>
          <w:numId w:val="9"/>
        </w:numPr>
        <w:adjustRightInd w:val="0"/>
        <w:snapToGrid w:val="0"/>
        <w:rPr>
          <w:rFonts w:hint="eastAsia" w:ascii="华文细黑" w:hAnsi="华文细黑" w:eastAsia="华文细黑" w:cs="华文细黑"/>
        </w:rPr>
      </w:pPr>
      <w:r>
        <w:rPr>
          <w:rFonts w:hint="eastAsia" w:ascii="华文细黑" w:hAnsi="华文细黑" w:eastAsia="华文细黑" w:cs="华文细黑"/>
        </w:rPr>
        <w:t>了解龙湖等知名房企的交房过程、注意点，以及应对管控，结合自身情况，应当如何处理在交房过程中出现的问题。</w:t>
      </w:r>
    </w:p>
    <w:p>
      <w:pPr>
        <w:numPr>
          <w:ilvl w:val="0"/>
          <w:numId w:val="9"/>
        </w:numPr>
        <w:adjustRightInd w:val="0"/>
        <w:snapToGrid w:val="0"/>
        <w:rPr>
          <w:rFonts w:hint="eastAsia" w:ascii="华文细黑" w:hAnsi="华文细黑" w:eastAsia="华文细黑" w:cs="华文细黑"/>
        </w:rPr>
      </w:pPr>
      <w:r>
        <w:rPr>
          <w:rFonts w:hint="eastAsia" w:ascii="华文细黑" w:hAnsi="华文细黑" w:eastAsia="华文细黑" w:cs="华文细黑"/>
        </w:rPr>
        <w:t>对交房中纠纷应对是很头痛的事情，本课程提供了一些好的建议和可操作方法，很值得借鉴。</w:t>
      </w:r>
    </w:p>
    <w:p>
      <w:pPr>
        <w:numPr>
          <w:ilvl w:val="0"/>
          <w:numId w:val="9"/>
        </w:numPr>
        <w:adjustRightInd w:val="0"/>
        <w:snapToGrid w:val="0"/>
        <w:rPr>
          <w:rFonts w:hint="eastAsia" w:ascii="华文细黑" w:hAnsi="华文细黑" w:eastAsia="华文细黑" w:cs="华文细黑"/>
        </w:rPr>
      </w:pPr>
      <w:r>
        <w:rPr>
          <w:rFonts w:hint="eastAsia" w:ascii="华文细黑" w:hAnsi="华文细黑" w:eastAsia="华文细黑" w:cs="华文细黑"/>
        </w:rPr>
        <w:t>很有实际操作的参考性和借鉴性，内容较全面，比较接地气，从中我提取到了对自己工作更有帮助的内容。</w:t>
      </w:r>
    </w:p>
    <w:p>
      <w:pPr>
        <w:numPr>
          <w:ilvl w:val="0"/>
          <w:numId w:val="9"/>
        </w:numPr>
        <w:adjustRightInd w:val="0"/>
        <w:snapToGrid w:val="0"/>
        <w:rPr>
          <w:rFonts w:hint="eastAsia" w:ascii="华文细黑" w:hAnsi="华文细黑" w:eastAsia="华文细黑" w:cs="华文细黑"/>
        </w:rPr>
      </w:pPr>
      <w:r>
        <w:rPr>
          <w:rFonts w:hint="eastAsia" w:ascii="华文细黑" w:hAnsi="华文细黑" w:eastAsia="华文细黑" w:cs="华文细黑"/>
        </w:rPr>
        <w:t>课程内容丰富，讲解到位，比较适合公司的实操性，对企业今后交房的改善，纠纷的处理，和前期产品整改及营销有积极的借鉴意义，希望以后有机会做进一步深入沟通和指导，谢谢。</w:t>
      </w:r>
    </w:p>
    <w:p>
      <w:pPr>
        <w:numPr>
          <w:ilvl w:val="0"/>
          <w:numId w:val="9"/>
        </w:numPr>
        <w:adjustRightInd w:val="0"/>
        <w:snapToGrid w:val="0"/>
        <w:rPr>
          <w:rFonts w:hint="eastAsia" w:ascii="华文细黑" w:hAnsi="华文细黑" w:eastAsia="华文细黑" w:cs="华文细黑"/>
        </w:rPr>
      </w:pPr>
      <w:r>
        <w:rPr>
          <w:rFonts w:hint="eastAsia" w:ascii="华文细黑" w:hAnsi="华文细黑" w:eastAsia="华文细黑" w:cs="华文细黑"/>
        </w:rPr>
        <w:t>我的收获体会：1.交房是系统工程，是果不是因。2.危机事件中，地产公司老板的态度很重要；3.情、理、法体系的应用应该在关键岗位进行深入培训、训练、应用。4.事前控制好过事中、事后处理。</w:t>
      </w:r>
    </w:p>
    <w:p>
      <w:pPr>
        <w:numPr>
          <w:ilvl w:val="0"/>
          <w:numId w:val="9"/>
        </w:numPr>
        <w:adjustRightInd w:val="0"/>
        <w:snapToGrid w:val="0"/>
        <w:rPr>
          <w:rFonts w:hint="eastAsia" w:ascii="华文细黑" w:hAnsi="华文细黑" w:eastAsia="华文细黑" w:cs="华文细黑"/>
        </w:rPr>
      </w:pPr>
      <w:r>
        <w:rPr>
          <w:rFonts w:hint="eastAsia" w:ascii="华文细黑" w:hAnsi="华文细黑" w:eastAsia="华文细黑" w:cs="华文细黑"/>
        </w:rPr>
        <w:t>通过实例系统接触到很多交房经验及方法，了解并熟悉交房整个过程的策划、处理、解决过程，学习到了更多的交房技巧。</w:t>
      </w:r>
    </w:p>
    <w:p>
      <w:pPr>
        <w:numPr>
          <w:ilvl w:val="0"/>
          <w:numId w:val="9"/>
        </w:numPr>
        <w:adjustRightInd w:val="0"/>
        <w:snapToGrid w:val="0"/>
        <w:rPr>
          <w:rFonts w:hint="eastAsia" w:ascii="华文细黑" w:hAnsi="华文细黑" w:eastAsia="华文细黑" w:cs="华文细黑"/>
        </w:rPr>
      </w:pPr>
      <w:r>
        <w:rPr>
          <w:rFonts w:hint="eastAsia" w:ascii="华文细黑" w:hAnsi="华文细黑" w:eastAsia="华文细黑" w:cs="华文细黑"/>
        </w:rPr>
        <w:t>对交房有了新的认识，交房是系统性的，交房的风险管控很重要。企业交房时的传承是我们公司需要重点做的。</w:t>
      </w:r>
    </w:p>
    <w:p>
      <w:pPr>
        <w:numPr>
          <w:ilvl w:val="0"/>
          <w:numId w:val="9"/>
        </w:numPr>
        <w:adjustRightInd w:val="0"/>
        <w:snapToGrid w:val="0"/>
        <w:rPr>
          <w:rFonts w:hint="eastAsia" w:ascii="华文细黑" w:hAnsi="华文细黑" w:eastAsia="华文细黑" w:cs="华文细黑"/>
        </w:rPr>
      </w:pPr>
      <w:r>
        <w:rPr>
          <w:rFonts w:hint="eastAsia" w:ascii="华文细黑" w:hAnsi="华文细黑" w:eastAsia="华文细黑" w:cs="华文细黑"/>
        </w:rPr>
        <w:t>培养系统思维，能有效运用到交房及全过程对客户服务，处理客户纠纷方面，将客服思维贯穿房地产开发全过程。</w:t>
      </w:r>
    </w:p>
    <w:p>
      <w:pPr>
        <w:numPr>
          <w:ilvl w:val="0"/>
          <w:numId w:val="9"/>
        </w:numPr>
        <w:adjustRightInd w:val="0"/>
        <w:snapToGrid w:val="0"/>
        <w:rPr>
          <w:rFonts w:hint="eastAsia" w:ascii="华文细黑" w:hAnsi="华文细黑" w:eastAsia="华文细黑" w:cs="华文细黑"/>
        </w:rPr>
      </w:pPr>
      <w:r>
        <w:rPr>
          <w:rFonts w:hint="eastAsia" w:ascii="华文细黑" w:hAnsi="华文细黑" w:eastAsia="华文细黑" w:cs="华文细黑"/>
        </w:rPr>
        <w:t>通过该课程让我对于沟通与协调方面有了全新的认识，也学习到了很多管理及沟通的技巧和方法，对工程与物业的关系更加明确，任务分工也得到很好的认识，谢谢。</w:t>
      </w:r>
    </w:p>
    <w:p>
      <w:pPr>
        <w:numPr>
          <w:ilvl w:val="0"/>
          <w:numId w:val="9"/>
        </w:numPr>
        <w:adjustRightInd w:val="0"/>
        <w:snapToGrid w:val="0"/>
        <w:rPr>
          <w:rFonts w:hint="eastAsia" w:ascii="华文细黑" w:hAnsi="华文细黑" w:eastAsia="华文细黑" w:cs="华文细黑"/>
        </w:rPr>
      </w:pPr>
      <w:r>
        <w:rPr>
          <w:rFonts w:hint="eastAsia" w:ascii="华文细黑" w:hAnsi="华文细黑" w:eastAsia="华文细黑" w:cs="华文细黑"/>
        </w:rPr>
        <w:t>学到了情、理、法的正确应用在解决客户问题的每个步骤及解决的方式和方法。在后期的房地产开发中，要物业、工程、销售、技术全程参与。任何工作都是以营销为主要前提。</w:t>
      </w:r>
    </w:p>
    <w:p>
      <w:pPr>
        <w:numPr>
          <w:ilvl w:val="0"/>
          <w:numId w:val="9"/>
        </w:numPr>
        <w:adjustRightInd w:val="0"/>
        <w:snapToGrid w:val="0"/>
        <w:rPr>
          <w:rFonts w:hint="eastAsia" w:ascii="华文细黑" w:hAnsi="华文细黑" w:eastAsia="华文细黑" w:cs="华文细黑"/>
        </w:rPr>
      </w:pPr>
      <w:r>
        <w:rPr>
          <w:rFonts w:hint="eastAsia" w:ascii="华文细黑" w:hAnsi="华文细黑" w:eastAsia="华文细黑" w:cs="华文细黑"/>
        </w:rPr>
        <w:t>观念意识转变客户问题不仅是客服单纯解决问题，各个前端部门共同承担；群诉事件处理最好的方式是情、理、法的完美结合。</w:t>
      </w:r>
    </w:p>
    <w:p>
      <w:pPr>
        <w:numPr>
          <w:ilvl w:val="0"/>
          <w:numId w:val="9"/>
        </w:numPr>
        <w:adjustRightInd w:val="0"/>
        <w:snapToGrid w:val="0"/>
        <w:rPr>
          <w:rFonts w:hint="eastAsia" w:ascii="华文细黑" w:hAnsi="华文细黑" w:eastAsia="华文细黑" w:cs="华文细黑"/>
        </w:rPr>
      </w:pPr>
      <w:r>
        <w:rPr>
          <w:rFonts w:hint="eastAsia" w:ascii="华文细黑" w:hAnsi="华文细黑" w:eastAsia="华文细黑" w:cs="华文细黑"/>
        </w:rPr>
        <w:t>系统完善的机制；风险管控的前置的重要性；交房顺利与否牵涉多环节多部门的协同落地总结。</w:t>
      </w:r>
    </w:p>
    <w:p>
      <w:pPr>
        <w:numPr>
          <w:ilvl w:val="0"/>
          <w:numId w:val="9"/>
        </w:numPr>
        <w:adjustRightInd w:val="0"/>
        <w:snapToGrid w:val="0"/>
        <w:rPr>
          <w:rFonts w:hint="eastAsia" w:ascii="华文细黑" w:hAnsi="华文细黑" w:eastAsia="华文细黑" w:cs="华文细黑"/>
        </w:rPr>
      </w:pPr>
      <w:r>
        <w:rPr>
          <w:rFonts w:hint="eastAsia" w:ascii="华文细黑" w:hAnsi="华文细黑" w:eastAsia="华文细黑" w:cs="华文细黑"/>
        </w:rPr>
        <w:t>对风险预控，危机处理。知识传承等有了全面了解及深刻认识，为后期对项目管理提供了较多的借鉴。</w:t>
      </w:r>
    </w:p>
    <w:p>
      <w:pPr>
        <w:numPr>
          <w:ilvl w:val="0"/>
          <w:numId w:val="9"/>
        </w:numPr>
        <w:adjustRightInd w:val="0"/>
        <w:snapToGrid w:val="0"/>
        <w:rPr>
          <w:rFonts w:hint="eastAsia" w:ascii="华文细黑" w:hAnsi="华文细黑" w:eastAsia="华文细黑" w:cs="华文细黑"/>
        </w:rPr>
      </w:pPr>
      <w:r>
        <w:rPr>
          <w:rFonts w:hint="eastAsia" w:ascii="华文细黑" w:hAnsi="华文细黑" w:eastAsia="华文细黑" w:cs="华文细黑"/>
        </w:rPr>
        <w:t>收获：1.面对客户投诉问题要正面对待，不能逃避。要分析客户性格心理，注意应对技巧；交付包装以细节入手，抓客户心里，现场不知能巧妙分散客户对房屋质量的关注度；2. 与客户沟通时注意掌握运用法理情结合的手法；品牌是靠设计和施工做出来的；物业和客服要重视前期的作用。</w:t>
      </w:r>
    </w:p>
    <w:p>
      <w:pPr>
        <w:numPr>
          <w:ilvl w:val="0"/>
          <w:numId w:val="9"/>
        </w:numPr>
        <w:adjustRightInd w:val="0"/>
        <w:snapToGrid w:val="0"/>
        <w:rPr>
          <w:rFonts w:hint="eastAsia" w:ascii="华文细黑" w:hAnsi="华文细黑" w:eastAsia="华文细黑" w:cs="华文细黑"/>
        </w:rPr>
      </w:pPr>
      <w:r>
        <w:rPr>
          <w:rFonts w:hint="eastAsia" w:ascii="华文细黑" w:hAnsi="华文细黑" w:eastAsia="华文细黑" w:cs="华文细黑"/>
        </w:rPr>
        <w:t>交房“体验”落地，要舍得投入；情理法在多领域均适用，争议源于共识的难以达成，沟通以诚为根，能让对方站在我方角度去思考才是好的沟通；</w:t>
      </w:r>
    </w:p>
    <w:p>
      <w:pPr>
        <w:numPr>
          <w:ilvl w:val="0"/>
          <w:numId w:val="9"/>
        </w:numPr>
        <w:adjustRightInd w:val="0"/>
        <w:snapToGrid w:val="0"/>
        <w:rPr>
          <w:rFonts w:hint="eastAsia" w:ascii="华文细黑" w:hAnsi="华文细黑" w:eastAsia="华文细黑" w:cs="华文细黑"/>
        </w:rPr>
      </w:pPr>
      <w:r>
        <w:rPr>
          <w:rFonts w:hint="eastAsia" w:ascii="华文细黑" w:hAnsi="华文细黑" w:eastAsia="华文细黑" w:cs="华文细黑"/>
        </w:rPr>
        <w:t>体会：1. 对房屋交付需高度重视，要提前策划好交付方案，制订突发事件应急预案，并做专项培训和演练；危机事件的处理有系统的理解；2. 对客户满意、触点管理，客户体验有新的理解，通过策划强化客户体验；“品质”管理的关键是前端“规划设计”“施工”过程的有效管控。</w:t>
      </w:r>
    </w:p>
    <w:p>
      <w:pPr>
        <w:adjustRightInd w:val="0"/>
        <w:snapToGrid w:val="0"/>
        <w:ind w:left="420"/>
        <w:rPr>
          <w:rFonts w:hint="eastAsia" w:ascii="华文细黑" w:hAnsi="华文细黑" w:eastAsia="华文细黑" w:cs="华文细黑"/>
        </w:rPr>
      </w:pPr>
    </w:p>
    <w:p>
      <w:pPr>
        <w:widowControl/>
        <w:adjustRightInd w:val="0"/>
        <w:snapToGrid w:val="0"/>
        <w:rPr>
          <w:rFonts w:hint="eastAsia" w:ascii="华文细黑" w:hAnsi="华文细黑" w:eastAsia="华文细黑" w:cs="华文细黑"/>
          <w:bCs/>
          <w:szCs w:val="21"/>
        </w:rPr>
      </w:pPr>
    </w:p>
    <w:sectPr>
      <w:type w:val="continuous"/>
      <w:pgSz w:w="11907" w:h="16840"/>
      <w:pgMar w:top="1081" w:right="1134" w:bottom="1134" w:left="1134" w:header="851" w:footer="1055" w:gutter="0"/>
      <w:paperSrc w:first="7"/>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hint="eastAsia"/>
      </w:rPr>
    </w:pPr>
    <w:r>
      <w:fldChar w:fldCharType="begin"/>
    </w:r>
    <w:r>
      <w:rPr>
        <w:rStyle w:val="7"/>
      </w:rPr>
      <w:instrText xml:space="preserve"> NUMPAGES </w:instrText>
    </w:r>
    <w:r>
      <w:fldChar w:fldCharType="separate"/>
    </w:r>
    <w:r>
      <w:rPr>
        <w:rStyle w:val="7"/>
        <w:lang w:val="en-US" w:eastAsia="zh-CN"/>
      </w:rPr>
      <w:t>6</w:t>
    </w:r>
    <w:r>
      <w:fldChar w:fldCharType="end"/>
    </w:r>
    <w:r>
      <w:rPr>
        <w:rFonts w:ascii="宋体" w:hAnsi="宋体" w:cs="宋体"/>
        <w:kern w:val="0"/>
        <w:sz w:val="24"/>
      </w:rPr>
      <mc:AlternateContent>
        <mc:Choice Requires="wps">
          <w:drawing>
            <wp:anchor distT="0" distB="0" distL="114300" distR="114300" simplePos="0" relativeHeight="251659264" behindDoc="1" locked="0" layoutInCell="1" allowOverlap="1">
              <wp:simplePos x="0" y="0"/>
              <wp:positionH relativeFrom="column">
                <wp:posOffset>0</wp:posOffset>
              </wp:positionH>
              <wp:positionV relativeFrom="paragraph">
                <wp:posOffset>64770</wp:posOffset>
              </wp:positionV>
              <wp:extent cx="2743200" cy="39624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743200" cy="396240"/>
                      </a:xfrm>
                      <a:prstGeom prst="rect">
                        <a:avLst/>
                      </a:prstGeom>
                      <a:noFill/>
                      <a:ln>
                        <a:noFill/>
                      </a:ln>
                    </wps:spPr>
                    <wps:txbx>
                      <w:txbxContent>
                        <w:p>
                          <w:pPr>
                            <w:rPr>
                              <w:rFonts w:hint="eastAsia" w:ascii="华文宋体" w:hAnsi="华文宋体" w:eastAsia="华文宋体"/>
                              <w:color w:val="4D4D4D"/>
                              <w:sz w:val="15"/>
                              <w:szCs w:val="15"/>
                            </w:rPr>
                          </w:pPr>
                          <w:r>
                            <w:rPr>
                              <w:rFonts w:hint="eastAsia" w:ascii="华文宋体" w:hAnsi="华文宋体" w:eastAsia="华文宋体"/>
                              <w:color w:val="4D4D4D"/>
                              <w:sz w:val="15"/>
                              <w:szCs w:val="15"/>
                            </w:rPr>
                            <w:t xml:space="preserve">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5.1pt;height:31.2pt;width:216pt;z-index:-251657216;mso-width-relative:page;mso-height-relative:page;" filled="f" stroked="f" coordsize="21600,21600" o:gfxdata="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Crl9r7TAAAABgEAAA8AAAAAAAAA&#10;AQAgAAAAIgAAAGRycy9kb3ducmV2LnhtbFBLAQIUABQAAAAIAIdO4kDDhqEJFgIAABUEAAAOAAAA&#10;AAAAAAEAIAAAACIBAABkcnMvZTJvRG9jLnhtbFBLBQYAAAAABgAGAFkBAACqBQAAAAA=&#10;">
              <v:fill on="f" focussize="0,0"/>
              <v:stroke on="f"/>
              <v:imagedata o:title=""/>
              <o:lock v:ext="edit" aspectratio="f"/>
              <v:textbox>
                <w:txbxContent>
                  <w:p>
                    <w:pPr>
                      <w:rPr>
                        <w:rFonts w:hint="eastAsia" w:ascii="华文宋体" w:hAnsi="华文宋体" w:eastAsia="华文宋体"/>
                        <w:color w:val="4D4D4D"/>
                        <w:sz w:val="15"/>
                        <w:szCs w:val="15"/>
                      </w:rPr>
                    </w:pPr>
                    <w:r>
                      <w:rPr>
                        <w:rFonts w:hint="eastAsia" w:ascii="华文宋体" w:hAnsi="华文宋体" w:eastAsia="华文宋体"/>
                        <w:color w:val="4D4D4D"/>
                        <w:sz w:val="15"/>
                        <w:szCs w:val="15"/>
                      </w:rPr>
                      <w:t xml:space="preserve"> </w:t>
                    </w:r>
                  </w:p>
                </w:txbxContent>
              </v:textbox>
            </v:shape>
          </w:pict>
        </mc:Fallback>
      </mc:AlternateContent>
    </w:r>
    <w:r>
      <w:rPr>
        <w:rStyle w:val="7"/>
        <w:rFonts w:hint="eastAsia"/>
      </w:rPr>
      <w:t>-</w:t>
    </w:r>
    <w:r>
      <w:fldChar w:fldCharType="begin"/>
    </w:r>
    <w:r>
      <w:rPr>
        <w:rStyle w:val="7"/>
      </w:rPr>
      <w:instrText xml:space="preserve"> PAGE </w:instrText>
    </w:r>
    <w:r>
      <w:fldChar w:fldCharType="separate"/>
    </w:r>
    <w:r>
      <w:rPr>
        <w:rStyle w:val="7"/>
        <w:lang w:val="en-US" w:eastAsia="zh-CN"/>
      </w:rPr>
      <w:t>1</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52384A"/>
    <w:multiLevelType w:val="singleLevel"/>
    <w:tmpl w:val="9052384A"/>
    <w:lvl w:ilvl="0" w:tentative="0">
      <w:start w:val="1"/>
      <w:numFmt w:val="decimalEnclosedCircleChinese"/>
      <w:suff w:val="nothing"/>
      <w:lvlText w:val="%1　"/>
      <w:lvlJc w:val="left"/>
      <w:pPr>
        <w:ind w:left="840" w:firstLine="400"/>
      </w:pPr>
      <w:rPr>
        <w:rFonts w:hint="eastAsia"/>
      </w:rPr>
    </w:lvl>
  </w:abstractNum>
  <w:abstractNum w:abstractNumId="1">
    <w:nsid w:val="AB4544C0"/>
    <w:multiLevelType w:val="singleLevel"/>
    <w:tmpl w:val="AB4544C0"/>
    <w:lvl w:ilvl="0" w:tentative="0">
      <w:start w:val="1"/>
      <w:numFmt w:val="decimal"/>
      <w:lvlText w:val="%1."/>
      <w:lvlJc w:val="left"/>
      <w:pPr>
        <w:ind w:left="425" w:hanging="425"/>
      </w:pPr>
      <w:rPr>
        <w:rFonts w:hint="default"/>
      </w:rPr>
    </w:lvl>
  </w:abstractNum>
  <w:abstractNum w:abstractNumId="2">
    <w:nsid w:val="DB5C2A20"/>
    <w:multiLevelType w:val="singleLevel"/>
    <w:tmpl w:val="DB5C2A20"/>
    <w:lvl w:ilvl="0" w:tentative="0">
      <w:start w:val="1"/>
      <w:numFmt w:val="decimal"/>
      <w:lvlText w:val="%1."/>
      <w:lvlJc w:val="left"/>
      <w:pPr>
        <w:ind w:left="425" w:hanging="425"/>
      </w:pPr>
      <w:rPr>
        <w:rFonts w:hint="default"/>
      </w:rPr>
    </w:lvl>
  </w:abstractNum>
  <w:abstractNum w:abstractNumId="3">
    <w:nsid w:val="020769EE"/>
    <w:multiLevelType w:val="multilevel"/>
    <w:tmpl w:val="020769EE"/>
    <w:lvl w:ilvl="0" w:tentative="0">
      <w:start w:val="1"/>
      <w:numFmt w:val="chineseCountingThousand"/>
      <w:lvlText w:val="%1."/>
      <w:lvlJc w:val="left"/>
      <w:pPr>
        <w:tabs>
          <w:tab w:val="left" w:pos="420"/>
        </w:tabs>
        <w:ind w:left="420" w:hanging="420"/>
      </w:pPr>
      <w:rPr>
        <w:rFonts w:hint="eastAsia"/>
        <w:lang w:val="en-US"/>
      </w:rPr>
    </w:lvl>
    <w:lvl w:ilvl="1" w:tentative="0">
      <w:start w:val="1"/>
      <w:numFmt w:val="chineseCountingThousand"/>
      <w:lvlText w:val="(%2)"/>
      <w:lvlJc w:val="left"/>
      <w:pPr>
        <w:tabs>
          <w:tab w:val="left" w:pos="840"/>
        </w:tabs>
        <w:ind w:left="840" w:hanging="420"/>
      </w:pPr>
      <w:rPr>
        <w:rFonts w:hint="eastAsia"/>
        <w:lang w:val="en-US"/>
      </w:rPr>
    </w:lvl>
    <w:lvl w:ilvl="2" w:tentative="0">
      <w:start w:val="1"/>
      <w:numFmt w:val="decimal"/>
      <w:lvlText w:val="%3."/>
      <w:lvlJc w:val="left"/>
      <w:pPr>
        <w:tabs>
          <w:tab w:val="left" w:pos="1200"/>
        </w:tabs>
        <w:ind w:left="1200" w:hanging="360"/>
      </w:pPr>
      <w:rPr>
        <w:rFonts w:hint="default"/>
        <w:lang w:val="en-US"/>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16280FB9"/>
    <w:multiLevelType w:val="singleLevel"/>
    <w:tmpl w:val="16280FB9"/>
    <w:lvl w:ilvl="0" w:tentative="0">
      <w:start w:val="1"/>
      <w:numFmt w:val="decimal"/>
      <w:suff w:val="nothing"/>
      <w:lvlText w:val="%1．"/>
      <w:lvlJc w:val="left"/>
      <w:pPr>
        <w:ind w:left="0" w:firstLine="400"/>
      </w:pPr>
      <w:rPr>
        <w:rFonts w:hint="default"/>
      </w:rPr>
    </w:lvl>
  </w:abstractNum>
  <w:abstractNum w:abstractNumId="5">
    <w:nsid w:val="44CD5DF5"/>
    <w:multiLevelType w:val="singleLevel"/>
    <w:tmpl w:val="44CD5DF5"/>
    <w:lvl w:ilvl="0" w:tentative="0">
      <w:start w:val="1"/>
      <w:numFmt w:val="decimal"/>
      <w:lvlText w:val="%1)"/>
      <w:lvlJc w:val="left"/>
      <w:pPr>
        <w:tabs>
          <w:tab w:val="left" w:pos="1260"/>
        </w:tabs>
        <w:ind w:left="1685" w:hanging="425"/>
      </w:pPr>
      <w:rPr>
        <w:rFonts w:hint="default"/>
      </w:rPr>
    </w:lvl>
  </w:abstractNum>
  <w:abstractNum w:abstractNumId="6">
    <w:nsid w:val="465147B1"/>
    <w:multiLevelType w:val="multilevel"/>
    <w:tmpl w:val="465147B1"/>
    <w:lvl w:ilvl="0" w:tentative="0">
      <w:start w:val="1"/>
      <w:numFmt w:val="chineseCountingThousand"/>
      <w:lvlText w:val="(%1)"/>
      <w:lvlJc w:val="left"/>
      <w:pPr>
        <w:tabs>
          <w:tab w:val="left" w:pos="8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60"/>
        </w:tabs>
        <w:ind w:left="1260" w:hanging="420"/>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4B10769C"/>
    <w:multiLevelType w:val="multilevel"/>
    <w:tmpl w:val="4B10769C"/>
    <w:lvl w:ilvl="0" w:tentative="0">
      <w:start w:val="1"/>
      <w:numFmt w:val="bullet"/>
      <w:lvlText w:val="•"/>
      <w:lvlJc w:val="left"/>
      <w:pPr>
        <w:tabs>
          <w:tab w:val="left" w:pos="840"/>
        </w:tabs>
        <w:ind w:left="840" w:hanging="420"/>
      </w:pPr>
      <w:rPr>
        <w:rFonts w:hint="eastAsia" w:ascii="华文宋体" w:hAnsi="华文宋体" w:eastAsia="华文宋体"/>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5D448831"/>
    <w:multiLevelType w:val="singleLevel"/>
    <w:tmpl w:val="5D448831"/>
    <w:lvl w:ilvl="0" w:tentative="0">
      <w:start w:val="1"/>
      <w:numFmt w:val="decimal"/>
      <w:suff w:val="nothing"/>
      <w:lvlText w:val="%1．"/>
      <w:lvlJc w:val="left"/>
      <w:pPr>
        <w:ind w:left="-400" w:firstLine="400"/>
      </w:pPr>
      <w:rPr>
        <w:rFonts w:hint="default"/>
      </w:rPr>
    </w:lvl>
  </w:abstractNum>
  <w:num w:numId="1">
    <w:abstractNumId w:val="3"/>
  </w:num>
  <w:num w:numId="2">
    <w:abstractNumId w:val="1"/>
  </w:num>
  <w:num w:numId="3">
    <w:abstractNumId w:val="2"/>
  </w:num>
  <w:num w:numId="4">
    <w:abstractNumId w:val="0"/>
  </w:num>
  <w:num w:numId="5">
    <w:abstractNumId w:val="6"/>
  </w:num>
  <w:num w:numId="6">
    <w:abstractNumId w:val="8"/>
  </w:num>
  <w:num w:numId="7">
    <w:abstractNumId w:val="4"/>
  </w:num>
  <w:num w:numId="8">
    <w:abstractNumId w:val="5"/>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QyZTE5ZmQxMGI0OGRhOWJkNTg0MmNhNDMxZWFhZjYifQ=="/>
  </w:docVars>
  <w:rsids>
    <w:rsidRoot w:val="00CA7F2B"/>
    <w:rsid w:val="00005DD7"/>
    <w:rsid w:val="00026C75"/>
    <w:rsid w:val="00042F94"/>
    <w:rsid w:val="0004546E"/>
    <w:rsid w:val="00053D1C"/>
    <w:rsid w:val="000640F2"/>
    <w:rsid w:val="000700B8"/>
    <w:rsid w:val="000702CC"/>
    <w:rsid w:val="00077107"/>
    <w:rsid w:val="000827DC"/>
    <w:rsid w:val="000924BA"/>
    <w:rsid w:val="000A2394"/>
    <w:rsid w:val="000E5F1C"/>
    <w:rsid w:val="001011BA"/>
    <w:rsid w:val="00123F58"/>
    <w:rsid w:val="00134733"/>
    <w:rsid w:val="00151D18"/>
    <w:rsid w:val="00157B08"/>
    <w:rsid w:val="001641DA"/>
    <w:rsid w:val="00167CC9"/>
    <w:rsid w:val="0017452D"/>
    <w:rsid w:val="001914B4"/>
    <w:rsid w:val="001A0A32"/>
    <w:rsid w:val="001A3C47"/>
    <w:rsid w:val="001E7ECE"/>
    <w:rsid w:val="002022F3"/>
    <w:rsid w:val="00250373"/>
    <w:rsid w:val="00267A25"/>
    <w:rsid w:val="003041BC"/>
    <w:rsid w:val="00314E7F"/>
    <w:rsid w:val="0033660E"/>
    <w:rsid w:val="00344602"/>
    <w:rsid w:val="00346A71"/>
    <w:rsid w:val="003542E2"/>
    <w:rsid w:val="00356E9C"/>
    <w:rsid w:val="0037402F"/>
    <w:rsid w:val="003A612F"/>
    <w:rsid w:val="003A6362"/>
    <w:rsid w:val="003C48F9"/>
    <w:rsid w:val="003D730C"/>
    <w:rsid w:val="003E26CA"/>
    <w:rsid w:val="003F28C4"/>
    <w:rsid w:val="003F64BE"/>
    <w:rsid w:val="004071E3"/>
    <w:rsid w:val="00415C0F"/>
    <w:rsid w:val="00437C4D"/>
    <w:rsid w:val="004573EF"/>
    <w:rsid w:val="00463346"/>
    <w:rsid w:val="004946A6"/>
    <w:rsid w:val="004D5108"/>
    <w:rsid w:val="004D5D9A"/>
    <w:rsid w:val="004F576E"/>
    <w:rsid w:val="00504F26"/>
    <w:rsid w:val="0059077E"/>
    <w:rsid w:val="005A3C02"/>
    <w:rsid w:val="005A4353"/>
    <w:rsid w:val="005B7060"/>
    <w:rsid w:val="005D3D8A"/>
    <w:rsid w:val="005F130A"/>
    <w:rsid w:val="00605D6D"/>
    <w:rsid w:val="00617E12"/>
    <w:rsid w:val="006309A4"/>
    <w:rsid w:val="00634ACF"/>
    <w:rsid w:val="00654D3D"/>
    <w:rsid w:val="00681F2B"/>
    <w:rsid w:val="00695549"/>
    <w:rsid w:val="00697F66"/>
    <w:rsid w:val="006B7D08"/>
    <w:rsid w:val="006D7CA8"/>
    <w:rsid w:val="006E4FEA"/>
    <w:rsid w:val="00700849"/>
    <w:rsid w:val="007237B5"/>
    <w:rsid w:val="007635E4"/>
    <w:rsid w:val="00780829"/>
    <w:rsid w:val="00781D54"/>
    <w:rsid w:val="00785C05"/>
    <w:rsid w:val="0079276E"/>
    <w:rsid w:val="00795E92"/>
    <w:rsid w:val="007A5BFD"/>
    <w:rsid w:val="007B6E35"/>
    <w:rsid w:val="007B7464"/>
    <w:rsid w:val="007C2D13"/>
    <w:rsid w:val="007F56F4"/>
    <w:rsid w:val="00820D9B"/>
    <w:rsid w:val="00832D24"/>
    <w:rsid w:val="0083561E"/>
    <w:rsid w:val="008453EC"/>
    <w:rsid w:val="00847661"/>
    <w:rsid w:val="0086407A"/>
    <w:rsid w:val="00892C24"/>
    <w:rsid w:val="008A4E16"/>
    <w:rsid w:val="008B25C8"/>
    <w:rsid w:val="008B543D"/>
    <w:rsid w:val="008C3196"/>
    <w:rsid w:val="008C7A60"/>
    <w:rsid w:val="008F28C7"/>
    <w:rsid w:val="008F321D"/>
    <w:rsid w:val="009032C1"/>
    <w:rsid w:val="0094339E"/>
    <w:rsid w:val="00976C8D"/>
    <w:rsid w:val="009C7CD7"/>
    <w:rsid w:val="009D141F"/>
    <w:rsid w:val="009D762B"/>
    <w:rsid w:val="009E27AA"/>
    <w:rsid w:val="00A047B3"/>
    <w:rsid w:val="00A40099"/>
    <w:rsid w:val="00A6224D"/>
    <w:rsid w:val="00A70CA3"/>
    <w:rsid w:val="00A82153"/>
    <w:rsid w:val="00A873E8"/>
    <w:rsid w:val="00AA4500"/>
    <w:rsid w:val="00AC2E26"/>
    <w:rsid w:val="00AE642A"/>
    <w:rsid w:val="00B25A39"/>
    <w:rsid w:val="00B54204"/>
    <w:rsid w:val="00B64C5D"/>
    <w:rsid w:val="00B66124"/>
    <w:rsid w:val="00B776DC"/>
    <w:rsid w:val="00B9168C"/>
    <w:rsid w:val="00BA09DC"/>
    <w:rsid w:val="00BA1812"/>
    <w:rsid w:val="00BB1897"/>
    <w:rsid w:val="00C035B9"/>
    <w:rsid w:val="00C1436A"/>
    <w:rsid w:val="00C34A18"/>
    <w:rsid w:val="00C71133"/>
    <w:rsid w:val="00CA7F2B"/>
    <w:rsid w:val="00CC1CA5"/>
    <w:rsid w:val="00CC2E2A"/>
    <w:rsid w:val="00CC6620"/>
    <w:rsid w:val="00CE4E7A"/>
    <w:rsid w:val="00D12661"/>
    <w:rsid w:val="00D14EE2"/>
    <w:rsid w:val="00D265F3"/>
    <w:rsid w:val="00D654F1"/>
    <w:rsid w:val="00D917D8"/>
    <w:rsid w:val="00DB1235"/>
    <w:rsid w:val="00DF6700"/>
    <w:rsid w:val="00E372D8"/>
    <w:rsid w:val="00E409F8"/>
    <w:rsid w:val="00E533DE"/>
    <w:rsid w:val="00E577C2"/>
    <w:rsid w:val="00E7213B"/>
    <w:rsid w:val="00E820EE"/>
    <w:rsid w:val="00E914AF"/>
    <w:rsid w:val="00E91C43"/>
    <w:rsid w:val="00EB73FF"/>
    <w:rsid w:val="00EC16C6"/>
    <w:rsid w:val="00ED7157"/>
    <w:rsid w:val="00EE129E"/>
    <w:rsid w:val="00EF1708"/>
    <w:rsid w:val="00F04692"/>
    <w:rsid w:val="00F04D24"/>
    <w:rsid w:val="00F06F4E"/>
    <w:rsid w:val="00F231D8"/>
    <w:rsid w:val="00F46F6E"/>
    <w:rsid w:val="00F80BE2"/>
    <w:rsid w:val="00F81547"/>
    <w:rsid w:val="00F87C7C"/>
    <w:rsid w:val="00F9386B"/>
    <w:rsid w:val="00F94B3C"/>
    <w:rsid w:val="00FC0F88"/>
    <w:rsid w:val="00FC1885"/>
    <w:rsid w:val="020275D0"/>
    <w:rsid w:val="051A0D14"/>
    <w:rsid w:val="05471D52"/>
    <w:rsid w:val="08921B77"/>
    <w:rsid w:val="095E3189"/>
    <w:rsid w:val="0A4D3C73"/>
    <w:rsid w:val="134002D3"/>
    <w:rsid w:val="134D00B5"/>
    <w:rsid w:val="190A555B"/>
    <w:rsid w:val="1A84233B"/>
    <w:rsid w:val="1F0C7B14"/>
    <w:rsid w:val="27982D33"/>
    <w:rsid w:val="27B415C4"/>
    <w:rsid w:val="2B680780"/>
    <w:rsid w:val="2FA40541"/>
    <w:rsid w:val="3768578B"/>
    <w:rsid w:val="3F2F48E2"/>
    <w:rsid w:val="43AA4679"/>
    <w:rsid w:val="459C4979"/>
    <w:rsid w:val="46EF1448"/>
    <w:rsid w:val="4A963723"/>
    <w:rsid w:val="4D52464E"/>
    <w:rsid w:val="56EF3C74"/>
    <w:rsid w:val="571728C1"/>
    <w:rsid w:val="5B850BE5"/>
    <w:rsid w:val="61255A26"/>
    <w:rsid w:val="61537D05"/>
    <w:rsid w:val="68CA2026"/>
    <w:rsid w:val="6C3F061B"/>
    <w:rsid w:val="6C9B203F"/>
    <w:rsid w:val="6FE941BF"/>
    <w:rsid w:val="701A135F"/>
    <w:rsid w:val="78714D7D"/>
    <w:rsid w:val="7C2C149F"/>
    <w:rsid w:val="7DF1528C"/>
    <w:rsid w:val="7E6B24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page number"/>
    <w:basedOn w:val="6"/>
    <w:uiPriority w:val="0"/>
  </w:style>
  <w:style w:type="character" w:styleId="8">
    <w:name w:val="Hyperlink"/>
    <w:qFormat/>
    <w:uiPriority w:val="0"/>
    <w:rPr>
      <w:color w:val="0000FF"/>
      <w:u w:val="single"/>
    </w:rPr>
  </w:style>
  <w:style w:type="paragraph" w:styleId="9">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hanga</Company>
  <Pages>4</Pages>
  <Words>3592</Words>
  <Characters>3622</Characters>
  <Lines>19</Lines>
  <Paragraphs>5</Paragraphs>
  <TotalTime>39</TotalTime>
  <ScaleCrop>false</ScaleCrop>
  <LinksUpToDate>false</LinksUpToDate>
  <CharactersWithSpaces>3654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交房纠纷应对</dc:title>
  <dc:creator>孙凡老师13508359518</dc:creator>
  <dc:description>孙凡老师13508359518</dc:description>
  <cp:lastModifiedBy>孙凡</cp:lastModifiedBy>
  <cp:revision>3</cp:revision>
  <dcterms:created xsi:type="dcterms:W3CDTF">2022-06-21T03:56:00Z</dcterms:created>
  <dcterms:modified xsi:type="dcterms:W3CDTF">2023-08-27T01:52:30Z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A9EADC0FCDB348DDB971CC5636920762_12</vt:lpwstr>
  </property>
</Properties>
</file>