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djustRightInd w:val="0"/>
        <w:snapToGrid w:val="0"/>
        <w:spacing w:line="300" w:lineRule="auto"/>
        <w:rPr>
          <w:rFonts w:hint="eastAsia" w:ascii="华文细黑" w:hAnsi="华文细黑" w:eastAsia="华文细黑" w:cs="华文细黑"/>
          <w:bCs/>
          <w:color w:val="C00000"/>
          <w:sz w:val="20"/>
          <w:szCs w:val="20"/>
        </w:rPr>
      </w:pPr>
      <w:r>
        <w:rPr>
          <w:rFonts w:hint="eastAsia" w:ascii="华文细黑" w:hAnsi="华文细黑" w:eastAsia="华文细黑" w:cs="华文细黑"/>
          <w:bCs/>
          <w:color w:val="C00000"/>
          <w:sz w:val="20"/>
          <w:szCs w:val="20"/>
        </w:rPr>
        <w:t>适合全体地产干部学习的交房策划与管理课程</w:t>
      </w:r>
    </w:p>
    <w:p>
      <w:pPr>
        <w:topLinePunct/>
        <w:adjustRightInd w:val="0"/>
        <w:snapToGrid w:val="0"/>
        <w:spacing w:line="300" w:lineRule="auto"/>
        <w:rPr>
          <w:rFonts w:hint="eastAsia" w:ascii="华文细黑" w:hAnsi="华文细黑" w:eastAsia="华文细黑" w:cs="华文细黑"/>
          <w:bCs/>
          <w:color w:val="C00000"/>
          <w:sz w:val="20"/>
          <w:szCs w:val="20"/>
        </w:rPr>
      </w:pPr>
      <w:r>
        <w:rPr>
          <w:rFonts w:hint="eastAsia" w:ascii="华文细黑" w:hAnsi="华文细黑" w:eastAsia="华文细黑" w:cs="华文细黑"/>
          <w:bCs/>
          <w:color w:val="C00000"/>
          <w:sz w:val="20"/>
          <w:szCs w:val="20"/>
        </w:rPr>
        <w:t>标杆企业高满意交房的组织策划与过程管控方法</w:t>
      </w:r>
    </w:p>
    <w:p>
      <w:pPr>
        <w:topLinePunct/>
        <w:adjustRightInd w:val="0"/>
        <w:snapToGrid w:val="0"/>
        <w:spacing w:line="300" w:lineRule="auto"/>
        <w:rPr>
          <w:rFonts w:hint="eastAsia" w:ascii="华文细黑" w:hAnsi="华文细黑" w:eastAsia="华文细黑" w:cs="华文细黑"/>
          <w:b/>
          <w:sz w:val="20"/>
          <w:szCs w:val="20"/>
        </w:rPr>
      </w:pPr>
      <w:r>
        <w:rPr>
          <w:rFonts w:hint="eastAsia" w:ascii="华文细黑" w:hAnsi="华文细黑" w:eastAsia="华文细黑" w:cs="华文细黑"/>
          <w:bCs/>
          <w:color w:val="C00000"/>
          <w:sz w:val="20"/>
          <w:szCs w:val="20"/>
        </w:rPr>
        <w:t>交房服务的细节亮点解析与借鉴</w:t>
      </w:r>
    </w:p>
    <w:p>
      <w:pPr>
        <w:topLinePunct/>
        <w:adjustRightInd w:val="0"/>
        <w:snapToGrid w:val="0"/>
        <w:spacing w:before="156" w:beforeLines="50" w:after="156" w:afterLines="50" w:line="300" w:lineRule="auto"/>
        <w:jc w:val="center"/>
        <w:rPr>
          <w:rFonts w:hint="eastAsia" w:ascii="华文细黑" w:hAnsi="华文细黑" w:eastAsia="华文细黑" w:cs="华文细黑"/>
          <w:b/>
          <w:color w:val="C00000"/>
          <w:sz w:val="32"/>
          <w:szCs w:val="32"/>
        </w:rPr>
      </w:pPr>
      <w:r>
        <w:rPr>
          <w:rFonts w:hint="eastAsia" w:ascii="华文细黑" w:hAnsi="华文细黑" w:eastAsia="华文细黑" w:cs="华文细黑"/>
          <w:b/>
          <w:color w:val="C00000"/>
          <w:sz w:val="32"/>
          <w:szCs w:val="32"/>
        </w:rPr>
        <w:t>标杆房企交房精细化组织管控与交房服务细节亮点解析</w:t>
      </w:r>
    </w:p>
    <w:p>
      <w:pPr>
        <w:topLinePunct/>
        <w:adjustRightInd w:val="0"/>
        <w:snapToGrid w:val="0"/>
        <w:spacing w:line="300" w:lineRule="auto"/>
        <w:jc w:val="center"/>
        <w:rPr>
          <w:rFonts w:hint="eastAsia" w:ascii="华文细黑" w:hAnsi="华文细黑" w:eastAsia="华文细黑" w:cs="华文细黑"/>
          <w:bCs/>
          <w:sz w:val="22"/>
          <w:szCs w:val="22"/>
        </w:rPr>
      </w:pPr>
      <w:r>
        <w:rPr>
          <w:rFonts w:hint="eastAsia" w:ascii="华文细黑" w:hAnsi="华文细黑" w:eastAsia="华文细黑" w:cs="华文细黑"/>
          <w:bCs/>
          <w:sz w:val="24"/>
        </w:rPr>
        <w:t>曾用名：</w:t>
      </w:r>
      <w:r>
        <w:rPr>
          <w:rFonts w:hint="eastAsia" w:ascii="华文细黑" w:hAnsi="华文细黑" w:eastAsia="华文细黑" w:cs="华文细黑"/>
          <w:bCs/>
          <w:sz w:val="22"/>
          <w:szCs w:val="22"/>
        </w:rPr>
        <w:t>标杆房企“以提升交房满意度为核心”的交房组织与管理解析</w:t>
      </w:r>
    </w:p>
    <w:p>
      <w:pPr>
        <w:topLinePunct/>
        <w:adjustRightInd w:val="0"/>
        <w:snapToGrid w:val="0"/>
        <w:spacing w:before="156" w:beforeLines="50" w:after="156" w:afterLines="50" w:line="300" w:lineRule="auto"/>
        <w:jc w:val="center"/>
        <w:rPr>
          <w:rFonts w:hint="eastAsia" w:ascii="华文细黑" w:hAnsi="华文细黑" w:eastAsia="华文细黑" w:cs="华文细黑"/>
          <w:bCs/>
          <w:szCs w:val="21"/>
        </w:rPr>
      </w:pPr>
      <w:r>
        <w:rPr>
          <w:rFonts w:hint="eastAsia" w:ascii="华文细黑" w:hAnsi="华文细黑" w:eastAsia="华文细黑" w:cs="华文细黑"/>
          <w:bCs/>
          <w:szCs w:val="21"/>
        </w:rPr>
        <w:t>（1天版）</w:t>
      </w:r>
    </w:p>
    <w:p>
      <w:pPr>
        <w:numPr>
          <w:ilvl w:val="0"/>
          <w:numId w:val="1"/>
        </w:numPr>
        <w:topLinePunct/>
        <w:adjustRightInd w:val="0"/>
        <w:snapToGrid w:val="0"/>
        <w:spacing w:line="300" w:lineRule="auto"/>
        <w:rPr>
          <w:rFonts w:hint="eastAsia" w:ascii="华文细黑" w:hAnsi="华文细黑" w:eastAsia="华文细黑" w:cs="华文细黑"/>
          <w:b/>
          <w:sz w:val="24"/>
        </w:rPr>
      </w:pPr>
      <w:r>
        <w:rPr>
          <w:rFonts w:hint="eastAsia" w:ascii="华文细黑" w:hAnsi="华文细黑" w:eastAsia="华文细黑" w:cs="华文细黑"/>
          <w:b/>
          <w:sz w:val="24"/>
        </w:rPr>
        <w:t>课程背景</w:t>
      </w:r>
    </w:p>
    <w:p>
      <w:pPr>
        <w:topLinePunct/>
        <w:adjustRightInd w:val="0"/>
        <w:snapToGrid w:val="0"/>
        <w:spacing w:line="300" w:lineRule="auto"/>
        <w:ind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交房作为地产开发重要的工作节点，不仅牵涉项目成败、也影响企业品牌形象，社会的安定和谐，备受企业、客户、行业、社会的关注。</w:t>
      </w:r>
    </w:p>
    <w:p>
      <w:pPr>
        <w:topLinePunct/>
        <w:adjustRightInd w:val="0"/>
        <w:snapToGrid w:val="0"/>
        <w:spacing w:line="300" w:lineRule="auto"/>
        <w:ind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国家“房住不炒”的政策下，地产降温。“买方时代”的客户越发“挑剔”，交房即维权愈加普遍，对开发企业形成巨大压力。</w:t>
      </w:r>
    </w:p>
    <w:p>
      <w:pPr>
        <w:topLinePunct/>
        <w:adjustRightInd w:val="0"/>
        <w:snapToGrid w:val="0"/>
        <w:spacing w:line="300" w:lineRule="auto"/>
        <w:ind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如何科学策划交房方案？如何有效预控并系统化减少交房风险？如何在交房的工作中完善服务，做好细节、提升客户体验，进而最终实现交房满意、客户满意度，……成为房企必修课！</w:t>
      </w:r>
    </w:p>
    <w:p>
      <w:pPr>
        <w:topLinePunct/>
        <w:adjustRightInd w:val="0"/>
        <w:snapToGrid w:val="0"/>
        <w:spacing w:line="300" w:lineRule="auto"/>
        <w:ind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本课程选自孙凡老师广受欢迎的课程《以交房为契机促进地产管理服务的全面提升（2天版）》原课程4个主要的内容板块。</w:t>
      </w:r>
      <w:r>
        <w:rPr>
          <w:rFonts w:hint="eastAsia" w:ascii="华文细黑" w:hAnsi="华文细黑" w:eastAsia="华文细黑" w:cs="华文细黑"/>
          <w:b/>
          <w:bCs/>
          <w:szCs w:val="21"/>
          <w:u w:val="single"/>
        </w:rPr>
        <w:t>本课程重点聚焦于交房的前期组织策划与交房前中后完整交房过程的管理</w:t>
      </w:r>
      <w:r>
        <w:rPr>
          <w:rFonts w:hint="eastAsia" w:ascii="华文细黑" w:hAnsi="华文细黑" w:eastAsia="华文细黑" w:cs="华文细黑"/>
          <w:szCs w:val="21"/>
        </w:rPr>
        <w:t>。</w:t>
      </w:r>
    </w:p>
    <w:p>
      <w:pPr>
        <w:topLinePunct/>
        <w:adjustRightInd w:val="0"/>
        <w:snapToGrid w:val="0"/>
        <w:spacing w:line="300" w:lineRule="auto"/>
        <w:ind w:firstLine="420" w:firstLineChars="200"/>
        <w:rPr>
          <w:rFonts w:hint="eastAsia" w:ascii="华文细黑" w:hAnsi="华文细黑" w:eastAsia="华文细黑" w:cs="华文细黑"/>
          <w:szCs w:val="21"/>
        </w:rPr>
      </w:pPr>
    </w:p>
    <w:p>
      <w:pPr>
        <w:numPr>
          <w:ilvl w:val="0"/>
          <w:numId w:val="1"/>
        </w:numPr>
        <w:topLinePunct/>
        <w:adjustRightInd w:val="0"/>
        <w:snapToGrid w:val="0"/>
        <w:spacing w:line="300" w:lineRule="auto"/>
        <w:rPr>
          <w:rFonts w:hint="eastAsia" w:ascii="华文细黑" w:hAnsi="华文细黑" w:eastAsia="华文细黑" w:cs="华文细黑"/>
          <w:b/>
          <w:sz w:val="24"/>
        </w:rPr>
      </w:pPr>
      <w:r>
        <w:rPr>
          <w:rFonts w:hint="eastAsia" w:ascii="华文细黑" w:hAnsi="华文细黑" w:eastAsia="华文细黑" w:cs="华文细黑"/>
          <w:b/>
          <w:sz w:val="24"/>
        </w:rPr>
        <w:t>课程目的</w:t>
      </w:r>
    </w:p>
    <w:p>
      <w:pPr>
        <w:topLinePunct/>
        <w:adjustRightInd w:val="0"/>
        <w:snapToGrid w:val="0"/>
        <w:spacing w:line="300" w:lineRule="auto"/>
        <w:ind w:firstLine="420" w:firstLineChars="200"/>
        <w:rPr>
          <w:rFonts w:ascii="华文细黑" w:hAnsi="华文细黑" w:eastAsia="华文细黑" w:cs="华文细黑"/>
          <w:szCs w:val="21"/>
        </w:rPr>
      </w:pPr>
      <w:r>
        <w:rPr>
          <w:rFonts w:hint="eastAsia" w:ascii="华文细黑" w:hAnsi="华文细黑" w:eastAsia="华文细黑" w:cs="华文细黑"/>
          <w:szCs w:val="21"/>
        </w:rPr>
        <w:t>以标杆企业交房策划组织的管理案例，剖析交房成败的系统性规律，指明行业误区，引导企业提升交房工作组织策划与管理服务的系统性、精细度，提升客户交房满意度！</w:t>
      </w:r>
    </w:p>
    <w:p>
      <w:pPr>
        <w:topLinePunct/>
        <w:adjustRightInd w:val="0"/>
        <w:snapToGrid w:val="0"/>
        <w:spacing w:line="300" w:lineRule="auto"/>
        <w:ind w:firstLine="420" w:firstLineChars="200"/>
        <w:rPr>
          <w:rFonts w:hint="eastAsia" w:ascii="华文细黑" w:hAnsi="华文细黑" w:eastAsia="华文细黑" w:cs="华文细黑"/>
          <w:szCs w:val="21"/>
        </w:rPr>
      </w:pPr>
    </w:p>
    <w:p>
      <w:pPr>
        <w:numPr>
          <w:ilvl w:val="0"/>
          <w:numId w:val="1"/>
        </w:numPr>
        <w:topLinePunct/>
        <w:adjustRightInd w:val="0"/>
        <w:snapToGrid w:val="0"/>
        <w:spacing w:line="300" w:lineRule="auto"/>
        <w:rPr>
          <w:rFonts w:hint="eastAsia" w:ascii="华文细黑" w:hAnsi="华文细黑" w:eastAsia="华文细黑" w:cs="华文细黑"/>
          <w:b/>
          <w:sz w:val="24"/>
        </w:rPr>
      </w:pPr>
      <w:r>
        <w:rPr>
          <w:rFonts w:hint="eastAsia" w:ascii="华文细黑" w:hAnsi="华文细黑" w:eastAsia="华文细黑" w:cs="华文细黑"/>
          <w:b/>
          <w:sz w:val="24"/>
        </w:rPr>
        <w:t>课程适应群体</w:t>
      </w:r>
    </w:p>
    <w:p>
      <w:pPr>
        <w:topLinePunct/>
        <w:adjustRightInd w:val="0"/>
        <w:snapToGrid w:val="0"/>
        <w:spacing w:line="300" w:lineRule="auto"/>
        <w:ind w:left="420"/>
        <w:rPr>
          <w:rFonts w:hint="eastAsia" w:ascii="华文细黑" w:hAnsi="华文细黑" w:eastAsia="华文细黑" w:cs="华文细黑"/>
          <w:szCs w:val="21"/>
        </w:rPr>
      </w:pPr>
      <w:r>
        <w:rPr>
          <w:rFonts w:hint="eastAsia" w:ascii="华文细黑" w:hAnsi="华文细黑" w:eastAsia="华文细黑" w:cs="华文细黑"/>
          <w:szCs w:val="21"/>
        </w:rPr>
        <w:t>地产公司高层领导、中层干部、项目骨干，涵盖各专业为佳。</w:t>
      </w:r>
    </w:p>
    <w:p>
      <w:pPr>
        <w:topLinePunct/>
        <w:adjustRightInd w:val="0"/>
        <w:snapToGrid w:val="0"/>
        <w:spacing w:line="300" w:lineRule="auto"/>
        <w:ind w:left="420"/>
        <w:rPr>
          <w:rFonts w:hint="eastAsia" w:ascii="华文细黑" w:hAnsi="华文细黑" w:eastAsia="华文细黑" w:cs="华文细黑"/>
          <w:szCs w:val="21"/>
        </w:rPr>
      </w:pPr>
      <w:r>
        <w:rPr>
          <w:rFonts w:hint="eastAsia" w:ascii="华文细黑" w:hAnsi="华文细黑" w:eastAsia="华文细黑" w:cs="华文细黑"/>
          <w:szCs w:val="21"/>
        </w:rPr>
        <w:t>尤其地产客服、研发、工程、营销、物业等与交房工作密切相关的干部、骨干员工参与。</w:t>
      </w:r>
    </w:p>
    <w:p>
      <w:pPr>
        <w:topLinePunct/>
        <w:adjustRightInd w:val="0"/>
        <w:snapToGrid w:val="0"/>
        <w:spacing w:line="300" w:lineRule="auto"/>
        <w:ind w:left="420"/>
        <w:rPr>
          <w:rFonts w:hint="eastAsia" w:ascii="华文细黑" w:hAnsi="华文细黑" w:eastAsia="华文细黑" w:cs="华文细黑"/>
          <w:szCs w:val="21"/>
        </w:rPr>
      </w:pPr>
      <w:r>
        <w:rPr>
          <w:rFonts w:hint="eastAsia" w:ascii="华文细黑" w:hAnsi="华文细黑" w:eastAsia="华文细黑" w:cs="华文细黑"/>
          <w:szCs w:val="21"/>
        </w:rPr>
        <w:t>尽量不要只安排单一职能的基层员工参与（本课程重点在“系统管理组织提升”而不在具体细节操作）</w:t>
      </w:r>
    </w:p>
    <w:p>
      <w:pPr>
        <w:topLinePunct/>
        <w:adjustRightInd w:val="0"/>
        <w:snapToGrid w:val="0"/>
        <w:spacing w:line="300" w:lineRule="auto"/>
        <w:ind w:left="420"/>
        <w:rPr>
          <w:rFonts w:ascii="华文细黑" w:hAnsi="华文细黑" w:eastAsia="华文细黑" w:cs="华文细黑"/>
          <w:szCs w:val="21"/>
        </w:rPr>
      </w:pPr>
      <w:r>
        <w:rPr>
          <w:rFonts w:hint="eastAsia" w:ascii="华文细黑" w:hAnsi="华文细黑" w:eastAsia="华文细黑" w:cs="华文细黑"/>
          <w:szCs w:val="21"/>
        </w:rPr>
        <w:t>本课程中没有“可以应对一切交房瑕疵、实现完美交付的绝招话术”，因此，期望在话术上精研的学员不适合本课程。</w:t>
      </w:r>
    </w:p>
    <w:p>
      <w:pPr>
        <w:topLinePunct/>
        <w:adjustRightInd w:val="0"/>
        <w:snapToGrid w:val="0"/>
        <w:spacing w:line="300" w:lineRule="auto"/>
        <w:ind w:left="420"/>
        <w:rPr>
          <w:rFonts w:hint="eastAsia" w:ascii="华文细黑" w:hAnsi="华文细黑" w:eastAsia="华文细黑" w:cs="华文细黑"/>
          <w:szCs w:val="21"/>
        </w:rPr>
      </w:pPr>
    </w:p>
    <w:p>
      <w:pPr>
        <w:numPr>
          <w:ilvl w:val="0"/>
          <w:numId w:val="1"/>
        </w:numPr>
        <w:topLinePunct/>
        <w:adjustRightInd w:val="0"/>
        <w:snapToGrid w:val="0"/>
        <w:spacing w:line="300" w:lineRule="auto"/>
        <w:rPr>
          <w:rFonts w:hint="eastAsia" w:ascii="华文细黑" w:hAnsi="华文细黑" w:eastAsia="华文细黑" w:cs="华文细黑"/>
          <w:b/>
          <w:sz w:val="24"/>
        </w:rPr>
      </w:pPr>
      <w:r>
        <w:rPr>
          <w:rFonts w:hint="eastAsia" w:ascii="华文细黑" w:hAnsi="华文细黑" w:eastAsia="华文细黑" w:cs="华文细黑"/>
          <w:b/>
          <w:sz w:val="24"/>
        </w:rPr>
        <w:t>学员收益</w:t>
      </w:r>
    </w:p>
    <w:p>
      <w:pPr>
        <w:topLinePunct/>
        <w:adjustRightInd w:val="0"/>
        <w:snapToGrid w:val="0"/>
        <w:spacing w:line="300" w:lineRule="auto"/>
        <w:ind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本课程涉及三个相关内容：</w:t>
      </w:r>
    </w:p>
    <w:p>
      <w:pPr>
        <w:numPr>
          <w:ilvl w:val="0"/>
          <w:numId w:val="2"/>
        </w:numPr>
        <w:tabs>
          <w:tab w:val="left" w:pos="1140"/>
        </w:tabs>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标杆房企（高满意度）交房组织策划与过程管控；--</w:t>
      </w:r>
      <w:r>
        <w:rPr>
          <w:rFonts w:hint="eastAsia" w:ascii="华文细黑" w:hAnsi="华文细黑" w:eastAsia="华文细黑" w:cs="华文细黑"/>
          <w:b/>
          <w:bCs/>
          <w:szCs w:val="21"/>
        </w:rPr>
        <w:t>重点内容</w:t>
      </w:r>
    </w:p>
    <w:p>
      <w:pPr>
        <w:numPr>
          <w:ilvl w:val="0"/>
          <w:numId w:val="2"/>
        </w:numPr>
        <w:tabs>
          <w:tab w:val="left" w:pos="1140"/>
        </w:tabs>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交房后工程瑕疵整改实施的保障与提升；（非重点、有时间就讲）</w:t>
      </w:r>
    </w:p>
    <w:p>
      <w:pPr>
        <w:numPr>
          <w:ilvl w:val="0"/>
          <w:numId w:val="2"/>
        </w:numPr>
        <w:tabs>
          <w:tab w:val="left" w:pos="1140"/>
        </w:tabs>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以品牌提升为目标,基于项目后评估的全面总结，促进企业产品、服务、管理的全面改善。（非重点、有时间就讲）</w:t>
      </w:r>
    </w:p>
    <w:p>
      <w:pPr>
        <w:topLinePunct/>
        <w:adjustRightInd w:val="0"/>
        <w:snapToGrid w:val="0"/>
        <w:spacing w:line="300" w:lineRule="auto"/>
        <w:ind w:firstLine="630" w:firstLineChars="300"/>
        <w:rPr>
          <w:rFonts w:hint="eastAsia" w:ascii="华文细黑" w:hAnsi="华文细黑" w:eastAsia="华文细黑" w:cs="华文细黑"/>
          <w:szCs w:val="21"/>
        </w:rPr>
      </w:pPr>
      <w:r>
        <w:rPr>
          <w:rFonts w:hint="eastAsia" w:ascii="华文细黑" w:hAnsi="华文细黑" w:eastAsia="华文细黑" w:cs="华文细黑"/>
          <w:szCs w:val="21"/>
        </w:rPr>
        <w:t>学员结合对标杆企业交房组织与交房过程前中后管理的观念、原则、流程、方法和实践案例解析研讨，可以掌握：</w:t>
      </w:r>
    </w:p>
    <w:p>
      <w:pPr>
        <w:numPr>
          <w:ilvl w:val="0"/>
          <w:numId w:val="3"/>
        </w:numPr>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如何完善交房组织方案</w:t>
      </w:r>
    </w:p>
    <w:p>
      <w:pPr>
        <w:numPr>
          <w:ilvl w:val="0"/>
          <w:numId w:val="3"/>
        </w:numPr>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如何细化交房的准备工作，包括物料、培训、风险排查、整改、客户沟通等</w:t>
      </w:r>
    </w:p>
    <w:p>
      <w:pPr>
        <w:numPr>
          <w:ilvl w:val="0"/>
          <w:numId w:val="3"/>
        </w:numPr>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如何策划交房过程服务细节</w:t>
      </w:r>
    </w:p>
    <w:p>
      <w:pPr>
        <w:numPr>
          <w:ilvl w:val="0"/>
          <w:numId w:val="3"/>
        </w:numPr>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如何实施交房过程的管理</w:t>
      </w:r>
    </w:p>
    <w:p>
      <w:pPr>
        <w:numPr>
          <w:ilvl w:val="0"/>
          <w:numId w:val="3"/>
        </w:numPr>
        <w:topLinePunct/>
        <w:adjustRightInd w:val="0"/>
        <w:snapToGrid w:val="0"/>
        <w:spacing w:line="300" w:lineRule="auto"/>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如何在交房后有效的总结经验教训，促进企业传承</w:t>
      </w:r>
    </w:p>
    <w:p>
      <w:pPr>
        <w:numPr>
          <w:ilvl w:val="0"/>
          <w:numId w:val="3"/>
        </w:numPr>
        <w:topLinePunct/>
        <w:adjustRightInd w:val="0"/>
        <w:snapToGrid w:val="0"/>
        <w:spacing w:line="300" w:lineRule="auto"/>
        <w:ind w:left="420" w:firstLine="420" w:firstLineChars="200"/>
        <w:rPr>
          <w:rFonts w:ascii="华文细黑" w:hAnsi="华文细黑" w:eastAsia="华文细黑" w:cs="华文细黑"/>
          <w:szCs w:val="21"/>
        </w:rPr>
      </w:pPr>
      <w:r>
        <w:rPr>
          <w:rFonts w:hint="eastAsia" w:ascii="华文细黑" w:hAnsi="华文细黑" w:eastAsia="华文细黑" w:cs="华文细黑"/>
          <w:szCs w:val="21"/>
        </w:rPr>
        <w:t>交房之后如何实施整改管理，如何推动管理服务全面改善思路等，…</w:t>
      </w:r>
    </w:p>
    <w:p>
      <w:pPr>
        <w:topLinePunct/>
        <w:adjustRightInd w:val="0"/>
        <w:snapToGrid w:val="0"/>
        <w:spacing w:line="300" w:lineRule="auto"/>
        <w:ind w:left="840"/>
        <w:rPr>
          <w:rFonts w:hint="eastAsia" w:ascii="华文细黑" w:hAnsi="华文细黑" w:eastAsia="华文细黑" w:cs="华文细黑"/>
          <w:szCs w:val="21"/>
        </w:rPr>
      </w:pPr>
    </w:p>
    <w:p>
      <w:pPr>
        <w:numPr>
          <w:ilvl w:val="0"/>
          <w:numId w:val="1"/>
        </w:numPr>
        <w:topLinePunct/>
        <w:adjustRightInd w:val="0"/>
        <w:snapToGrid w:val="0"/>
        <w:spacing w:line="300" w:lineRule="auto"/>
        <w:rPr>
          <w:rFonts w:ascii="华文细黑" w:hAnsi="华文细黑" w:eastAsia="华文细黑" w:cs="华文细黑"/>
          <w:szCs w:val="21"/>
        </w:rPr>
      </w:pPr>
      <w:r>
        <w:rPr>
          <w:rFonts w:hint="eastAsia" w:ascii="华文细黑" w:hAnsi="华文细黑" w:eastAsia="华文细黑" w:cs="华文细黑"/>
          <w:b/>
          <w:sz w:val="24"/>
        </w:rPr>
        <w:t>课程时间：</w:t>
      </w:r>
      <w:r>
        <w:rPr>
          <w:rFonts w:hint="eastAsia" w:ascii="华文细黑" w:hAnsi="华文细黑" w:eastAsia="华文细黑" w:cs="华文细黑"/>
          <w:b/>
          <w:bCs/>
          <w:sz w:val="24"/>
        </w:rPr>
        <w:t>1天（6小时）</w:t>
      </w:r>
    </w:p>
    <w:p>
      <w:pPr>
        <w:topLinePunct/>
        <w:adjustRightInd w:val="0"/>
        <w:snapToGrid w:val="0"/>
        <w:spacing w:line="300" w:lineRule="auto"/>
        <w:ind w:left="420"/>
        <w:rPr>
          <w:rFonts w:hint="eastAsia" w:ascii="华文细黑" w:hAnsi="华文细黑" w:eastAsia="华文细黑" w:cs="华文细黑"/>
          <w:szCs w:val="21"/>
        </w:rPr>
      </w:pPr>
    </w:p>
    <w:p>
      <w:pPr>
        <w:numPr>
          <w:ilvl w:val="0"/>
          <w:numId w:val="1"/>
        </w:numPr>
        <w:topLinePunct/>
        <w:adjustRightInd w:val="0"/>
        <w:snapToGrid w:val="0"/>
        <w:spacing w:line="300" w:lineRule="auto"/>
        <w:rPr>
          <w:rFonts w:hint="eastAsia" w:ascii="华文细黑" w:hAnsi="华文细黑" w:eastAsia="华文细黑" w:cs="华文细黑"/>
          <w:b/>
          <w:sz w:val="24"/>
        </w:rPr>
      </w:pPr>
      <w:r>
        <w:rPr>
          <w:rFonts w:hint="eastAsia" w:ascii="华文细黑" w:hAnsi="华文细黑" w:eastAsia="华文细黑" w:cs="华文细黑"/>
          <w:b/>
          <w:sz w:val="24"/>
        </w:rPr>
        <w:t>课程大纲</w:t>
      </w:r>
    </w:p>
    <w:p>
      <w:pPr>
        <w:numPr>
          <w:ilvl w:val="1"/>
          <w:numId w:val="1"/>
        </w:numPr>
        <w:topLinePunct/>
        <w:adjustRightInd w:val="0"/>
        <w:snapToGrid w:val="0"/>
        <w:spacing w:line="300" w:lineRule="auto"/>
        <w:rPr>
          <w:rFonts w:hint="eastAsia" w:ascii="华文细黑" w:hAnsi="华文细黑" w:eastAsia="华文细黑" w:cs="华文细黑"/>
          <w:b/>
          <w:sz w:val="22"/>
          <w:szCs w:val="22"/>
        </w:rPr>
        <w:sectPr>
          <w:footerReference r:id="rId3" w:type="default"/>
          <w:type w:val="continuous"/>
          <w:pgSz w:w="11907" w:h="16840"/>
          <w:pgMar w:top="1301" w:right="1134" w:bottom="1134" w:left="1134" w:header="851" w:footer="1055" w:gutter="0"/>
          <w:paperSrc w:first="7"/>
          <w:cols w:space="720" w:num="1"/>
          <w:docGrid w:type="lines" w:linePitch="312" w:charSpace="0"/>
        </w:sectPr>
      </w:pPr>
    </w:p>
    <w:p>
      <w:pPr>
        <w:numPr>
          <w:ilvl w:val="1"/>
          <w:numId w:val="1"/>
        </w:numPr>
        <w:tabs>
          <w:tab w:val="left" w:pos="640"/>
          <w:tab w:val="clear" w:pos="840"/>
        </w:tabs>
        <w:topLinePunct/>
        <w:adjustRightInd w:val="0"/>
        <w:snapToGrid w:val="0"/>
        <w:spacing w:line="300" w:lineRule="auto"/>
        <w:ind w:left="634" w:leftChars="103" w:hanging="418" w:hangingChars="199"/>
        <w:rPr>
          <w:rFonts w:ascii="华文细黑" w:hAnsi="华文细黑" w:eastAsia="华文细黑" w:cs="华文细黑"/>
          <w:b/>
          <w:szCs w:val="21"/>
        </w:rPr>
      </w:pPr>
      <w:r>
        <w:rPr>
          <w:rFonts w:hint="eastAsia" w:ascii="华文细黑" w:hAnsi="华文细黑" w:eastAsia="华文细黑" w:cs="华文细黑"/>
          <w:b/>
          <w:szCs w:val="21"/>
        </w:rPr>
        <w:t>课程预热：完美交房的关注点</w:t>
      </w:r>
    </w:p>
    <w:p>
      <w:pPr>
        <w:numPr>
          <w:ilvl w:val="1"/>
          <w:numId w:val="1"/>
        </w:numPr>
        <w:tabs>
          <w:tab w:val="left" w:pos="640"/>
          <w:tab w:val="clear" w:pos="840"/>
        </w:tabs>
        <w:topLinePunct/>
        <w:adjustRightInd w:val="0"/>
        <w:snapToGrid w:val="0"/>
        <w:spacing w:line="300" w:lineRule="auto"/>
        <w:ind w:left="634" w:leftChars="103" w:hanging="418" w:hangingChars="199"/>
        <w:rPr>
          <w:rFonts w:hint="eastAsia" w:ascii="华文细黑" w:hAnsi="华文细黑" w:eastAsia="华文细黑" w:cs="华文细黑"/>
          <w:b/>
          <w:szCs w:val="21"/>
        </w:rPr>
      </w:pPr>
      <w:r>
        <w:rPr>
          <w:rFonts w:hint="eastAsia" w:ascii="华文细黑" w:hAnsi="华文细黑" w:eastAsia="华文细黑" w:cs="华文细黑"/>
          <w:b/>
          <w:szCs w:val="21"/>
        </w:rPr>
        <w:t>交房正成为普遍的麻烦</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rPr>
        <w:t>房地产客户投诉变化趋势</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rPr>
        <w:t>交房为何是道坎？！交房纠纷激化的要素分析</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rPr>
        <w:t>业主维权新趋势对地产各个职能的挑战</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rPr>
        <w:t>企业对交房目标的差异说明了什么？</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行业普遍的交房组织管理误区与短板</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房闹的机会</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rPr>
        <w:t>交房成功的关键？交房可有绝招？</w:t>
      </w:r>
    </w:p>
    <w:p>
      <w:pPr>
        <w:numPr>
          <w:ilvl w:val="1"/>
          <w:numId w:val="1"/>
        </w:numPr>
        <w:tabs>
          <w:tab w:val="left" w:pos="640"/>
          <w:tab w:val="clear" w:pos="840"/>
        </w:tabs>
        <w:topLinePunct/>
        <w:adjustRightInd w:val="0"/>
        <w:snapToGrid w:val="0"/>
        <w:spacing w:line="300" w:lineRule="auto"/>
        <w:ind w:left="634" w:leftChars="103" w:hanging="418" w:hangingChars="199"/>
        <w:rPr>
          <w:rFonts w:hint="eastAsia" w:ascii="华文细黑" w:hAnsi="华文细黑" w:eastAsia="华文细黑" w:cs="华文细黑"/>
          <w:b/>
          <w:szCs w:val="21"/>
        </w:rPr>
      </w:pPr>
      <w:r>
        <w:rPr>
          <w:rFonts w:hint="eastAsia" w:ascii="华文细黑" w:hAnsi="华文细黑" w:eastAsia="华文细黑" w:cs="华文细黑"/>
          <w:b/>
          <w:szCs w:val="21"/>
        </w:rPr>
        <w:t>提升客户满意度的关键？</w:t>
      </w:r>
    </w:p>
    <w:p>
      <w:pPr>
        <w:numPr>
          <w:ilvl w:val="1"/>
          <w:numId w:val="1"/>
        </w:numPr>
        <w:tabs>
          <w:tab w:val="left" w:pos="640"/>
          <w:tab w:val="clear" w:pos="840"/>
        </w:tabs>
        <w:topLinePunct/>
        <w:adjustRightInd w:val="0"/>
        <w:snapToGrid w:val="0"/>
        <w:spacing w:line="300" w:lineRule="auto"/>
        <w:ind w:left="634" w:leftChars="103" w:hanging="418" w:hangingChars="199"/>
        <w:rPr>
          <w:rFonts w:hint="eastAsia" w:ascii="华文细黑" w:hAnsi="华文细黑" w:eastAsia="华文细黑" w:cs="华文细黑"/>
          <w:b/>
          <w:szCs w:val="21"/>
        </w:rPr>
      </w:pPr>
      <w:r>
        <w:rPr>
          <w:rFonts w:hint="eastAsia" w:ascii="华文细黑" w:hAnsi="华文细黑" w:eastAsia="华文细黑" w:cs="华文细黑"/>
          <w:b/>
          <w:szCs w:val="21"/>
        </w:rPr>
        <w:t>学习标杆房企交房策划与组织（重点）</w:t>
      </w:r>
    </w:p>
    <w:tbl>
      <w:tblPr>
        <w:tblStyle w:val="4"/>
        <w:tblW w:w="0" w:type="auto"/>
        <w:tblInd w:w="0" w:type="dxa"/>
        <w:tblLayout w:type="autofit"/>
        <w:tblCellMar>
          <w:top w:w="0" w:type="dxa"/>
          <w:left w:w="108" w:type="dxa"/>
          <w:bottom w:w="0" w:type="dxa"/>
          <w:right w:w="108" w:type="dxa"/>
        </w:tblCellMar>
      </w:tblPr>
      <w:tblGrid>
        <w:gridCol w:w="4604"/>
        <w:gridCol w:w="4753"/>
      </w:tblGrid>
      <w:tr>
        <w:tblPrEx>
          <w:tblCellMar>
            <w:top w:w="0" w:type="dxa"/>
            <w:left w:w="108" w:type="dxa"/>
            <w:bottom w:w="0" w:type="dxa"/>
            <w:right w:w="108" w:type="dxa"/>
          </w:tblCellMar>
        </w:tblPrEx>
        <w:trPr>
          <w:trHeight w:val="3886" w:hRule="atLeast"/>
        </w:trPr>
        <w:tc>
          <w:tcPr>
            <w:tcW w:w="4604" w:type="dxa"/>
            <w:shd w:val="clear" w:color="auto" w:fill="auto"/>
          </w:tcPr>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交房组织策划管理的趋势</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bCs/>
                <w:szCs w:val="21"/>
              </w:rPr>
              <w:t>研讨</w:t>
            </w:r>
            <w:r>
              <w:rPr>
                <w:rFonts w:hint="eastAsia" w:ascii="华文细黑" w:hAnsi="华文细黑" w:eastAsia="华文细黑" w:cs="华文细黑"/>
                <w:szCs w:val="21"/>
              </w:rPr>
              <w:t>标杆房企的交房策划与组织特色</w:t>
            </w:r>
          </w:p>
          <w:p>
            <w:pPr>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rPr>
              <w:t xml:space="preserve">    万科交房方案简析</w:t>
            </w:r>
          </w:p>
          <w:p>
            <w:pPr>
              <w:topLinePunct/>
              <w:adjustRightInd w:val="0"/>
              <w:snapToGrid w:val="0"/>
              <w:spacing w:line="300" w:lineRule="auto"/>
              <w:ind w:left="653" w:leftChars="311"/>
              <w:rPr>
                <w:rFonts w:hint="eastAsia" w:ascii="华文细黑" w:hAnsi="华文细黑" w:eastAsia="华文细黑" w:cs="华文细黑"/>
                <w:szCs w:val="21"/>
              </w:rPr>
            </w:pPr>
            <w:r>
              <w:rPr>
                <w:rFonts w:hint="eastAsia" w:ascii="华文细黑" w:hAnsi="华文细黑" w:eastAsia="华文细黑" w:cs="华文细黑"/>
                <w:szCs w:val="21"/>
              </w:rPr>
              <w:t>龙湖交房组织方案简析</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szCs w:val="21"/>
              </w:rPr>
            </w:pPr>
            <w:r>
              <w:rPr>
                <w:rFonts w:hint="eastAsia" w:ascii="华文细黑" w:hAnsi="华文细黑" w:eastAsia="华文细黑" w:cs="华文细黑"/>
                <w:szCs w:val="21"/>
              </w:rPr>
              <w:t>标杆交房策划组织的核心特色</w:t>
            </w: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bCs/>
                <w:szCs w:val="21"/>
              </w:rPr>
            </w:pPr>
            <w:r>
              <w:rPr>
                <w:rFonts w:hint="eastAsia" w:ascii="华文细黑" w:hAnsi="华文细黑" w:eastAsia="华文细黑" w:cs="华文细黑"/>
                <w:bCs/>
                <w:szCs w:val="21"/>
              </w:rPr>
              <w:t>交房前：组织策划10大要点分享</w:t>
            </w:r>
          </w:p>
          <w:p>
            <w:pPr>
              <w:topLinePunct/>
              <w:adjustRightInd w:val="0"/>
              <w:snapToGrid w:val="0"/>
              <w:spacing w:line="300" w:lineRule="auto"/>
              <w:ind w:left="633" w:leftChars="103" w:hanging="417" w:hangingChars="199"/>
              <w:rPr>
                <w:rFonts w:hint="eastAsia" w:ascii="华文细黑" w:hAnsi="华文细黑" w:eastAsia="华文细黑" w:cs="华文细黑"/>
                <w:bCs/>
                <w:szCs w:val="21"/>
              </w:rPr>
            </w:pPr>
            <w:r>
              <w:rPr>
                <w:rFonts w:hint="eastAsia" w:ascii="华文细黑" w:hAnsi="华文细黑" w:eastAsia="华文细黑" w:cs="华文细黑"/>
                <w:bCs/>
                <w:szCs w:val="21"/>
              </w:rPr>
              <w:t>重点在：</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交房的组织机构与准备</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验房的标准梳理、</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交房风险的排查、</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
                <w:szCs w:val="21"/>
              </w:rPr>
            </w:pPr>
            <w:r>
              <w:rPr>
                <w:rFonts w:hint="eastAsia" w:ascii="华文细黑" w:hAnsi="华文细黑" w:eastAsia="华文细黑" w:cs="华文细黑"/>
                <w:bCs/>
                <w:szCs w:val="21"/>
              </w:rPr>
              <w:t>交房话术打磨</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验房、交房人员的培训</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交房的氛围策划</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
                <w:szCs w:val="21"/>
              </w:rPr>
            </w:pPr>
            <w:r>
              <w:rPr>
                <w:rFonts w:hint="eastAsia" w:ascii="华文细黑" w:hAnsi="华文细黑" w:eastAsia="华文细黑" w:cs="华文细黑"/>
                <w:bCs/>
                <w:szCs w:val="21"/>
                <w:lang w:val="en-US" w:eastAsia="zh-CN"/>
              </w:rPr>
              <w:t>交房的动线</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
                <w:szCs w:val="21"/>
              </w:rPr>
            </w:pPr>
            <w:r>
              <w:rPr>
                <w:rFonts w:hint="eastAsia" w:ascii="华文细黑" w:hAnsi="华文细黑" w:eastAsia="华文细黑" w:cs="华文细黑"/>
                <w:bCs/>
                <w:szCs w:val="21"/>
                <w:lang w:val="en-US" w:eastAsia="zh-CN"/>
              </w:rPr>
              <w:t>关键的预验房</w:t>
            </w:r>
          </w:p>
          <w:p>
            <w:pPr>
              <w:numPr>
                <w:ilvl w:val="0"/>
                <w:numId w:val="4"/>
              </w:numPr>
              <w:topLinePunct/>
              <w:adjustRightInd w:val="0"/>
              <w:snapToGrid w:val="0"/>
              <w:spacing w:line="300" w:lineRule="auto"/>
              <w:ind w:firstLine="420" w:firstLineChars="200"/>
              <w:rPr>
                <w:rFonts w:hint="eastAsia" w:ascii="华文细黑" w:hAnsi="华文细黑" w:eastAsia="华文细黑" w:cs="华文细黑"/>
                <w:b/>
                <w:szCs w:val="21"/>
              </w:rPr>
            </w:pPr>
            <w:r>
              <w:rPr>
                <w:rFonts w:hint="eastAsia" w:ascii="华文细黑" w:hAnsi="华文细黑" w:eastAsia="华文细黑" w:cs="华文细黑"/>
                <w:bCs/>
                <w:szCs w:val="21"/>
                <w:lang w:val="en-US" w:eastAsia="zh-CN"/>
              </w:rPr>
              <w:t>客户分级和舆情管控</w:t>
            </w:r>
            <w:r>
              <w:rPr>
                <w:rFonts w:hint="eastAsia" w:ascii="华文细黑" w:hAnsi="华文细黑" w:eastAsia="华文细黑" w:cs="华文细黑"/>
                <w:bCs/>
                <w:szCs w:val="21"/>
              </w:rPr>
              <w:t>…</w:t>
            </w:r>
          </w:p>
        </w:tc>
        <w:tc>
          <w:tcPr>
            <w:tcW w:w="4753" w:type="dxa"/>
            <w:shd w:val="clear" w:color="auto" w:fill="auto"/>
          </w:tcPr>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bCs/>
                <w:szCs w:val="21"/>
              </w:rPr>
            </w:pPr>
            <w:r>
              <w:rPr>
                <w:rFonts w:hint="eastAsia" w:ascii="华文细黑" w:hAnsi="华文细黑" w:eastAsia="华文细黑" w:cs="华文细黑"/>
                <w:bCs/>
                <w:szCs w:val="21"/>
              </w:rPr>
              <w:t>交房中：入伙执行7大管控要点解析</w:t>
            </w:r>
          </w:p>
          <w:p>
            <w:pPr>
              <w:numPr>
                <w:ilvl w:val="0"/>
                <w:numId w:val="5"/>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交房氛围营造</w:t>
            </w:r>
          </w:p>
          <w:p>
            <w:pPr>
              <w:numPr>
                <w:ilvl w:val="0"/>
                <w:numId w:val="5"/>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交房的流程设计与变通</w:t>
            </w:r>
          </w:p>
          <w:p>
            <w:pPr>
              <w:numPr>
                <w:ilvl w:val="0"/>
                <w:numId w:val="5"/>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交房的服务细节如何策划实施？</w:t>
            </w:r>
          </w:p>
          <w:p>
            <w:pPr>
              <w:numPr>
                <w:ilvl w:val="0"/>
                <w:numId w:val="5"/>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交房的过程管控</w:t>
            </w:r>
          </w:p>
          <w:p>
            <w:pPr>
              <w:numPr>
                <w:ilvl w:val="0"/>
                <w:numId w:val="5"/>
              </w:numPr>
              <w:topLinePunct/>
              <w:adjustRightInd w:val="0"/>
              <w:snapToGrid w:val="0"/>
              <w:spacing w:line="300" w:lineRule="auto"/>
              <w:ind w:firstLine="420" w:firstLineChars="200"/>
              <w:rPr>
                <w:rFonts w:hint="eastAsia" w:ascii="华文细黑" w:hAnsi="华文细黑" w:eastAsia="华文细黑" w:cs="华文细黑"/>
                <w:bCs/>
                <w:szCs w:val="21"/>
              </w:rPr>
            </w:pPr>
            <w:bookmarkStart w:id="0" w:name="_GoBack"/>
            <w:bookmarkEnd w:id="0"/>
            <w:r>
              <w:rPr>
                <w:rFonts w:hint="eastAsia" w:ascii="华文细黑" w:hAnsi="华文细黑" w:eastAsia="华文细黑" w:cs="华文细黑"/>
                <w:bCs/>
                <w:szCs w:val="21"/>
              </w:rPr>
              <w:t>...等</w:t>
            </w:r>
          </w:p>
          <w:p>
            <w:pPr>
              <w:numPr>
                <w:numId w:val="0"/>
              </w:numPr>
              <w:topLinePunct/>
              <w:adjustRightInd w:val="0"/>
              <w:snapToGrid w:val="0"/>
              <w:spacing w:line="300" w:lineRule="auto"/>
              <w:ind w:leftChars="200"/>
              <w:rPr>
                <w:rFonts w:hint="eastAsia" w:ascii="华文细黑" w:hAnsi="华文细黑" w:eastAsia="华文细黑" w:cs="华文细黑"/>
                <w:bCs/>
                <w:szCs w:val="21"/>
              </w:rPr>
            </w:pP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bCs/>
                <w:szCs w:val="21"/>
              </w:rPr>
            </w:pPr>
            <w:r>
              <w:rPr>
                <w:rFonts w:hint="eastAsia" w:ascii="华文细黑" w:hAnsi="华文细黑" w:eastAsia="华文细黑" w:cs="华文细黑"/>
                <w:bCs/>
                <w:szCs w:val="21"/>
              </w:rPr>
              <w:t>交房末：3项工作要点</w:t>
            </w:r>
          </w:p>
          <w:p>
            <w:pPr>
              <w:numPr>
                <w:ilvl w:val="0"/>
                <w:numId w:val="6"/>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表彰鼓励</w:t>
            </w:r>
          </w:p>
          <w:p>
            <w:pPr>
              <w:numPr>
                <w:ilvl w:val="0"/>
                <w:numId w:val="6"/>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经验总结、知识传承</w:t>
            </w:r>
          </w:p>
          <w:p>
            <w:pPr>
              <w:numPr>
                <w:ilvl w:val="0"/>
                <w:numId w:val="6"/>
              </w:numPr>
              <w:topLinePunct/>
              <w:adjustRightInd w:val="0"/>
              <w:snapToGrid w:val="0"/>
              <w:spacing w:line="300" w:lineRule="auto"/>
              <w:ind w:firstLine="420" w:firstLineChars="200"/>
              <w:rPr>
                <w:rFonts w:hint="eastAsia" w:ascii="华文细黑" w:hAnsi="华文细黑" w:eastAsia="华文细黑" w:cs="华文细黑"/>
                <w:bCs/>
                <w:szCs w:val="21"/>
              </w:rPr>
            </w:pPr>
            <w:r>
              <w:rPr>
                <w:rFonts w:hint="eastAsia" w:ascii="华文细黑" w:hAnsi="华文细黑" w:eastAsia="华文细黑" w:cs="华文细黑"/>
                <w:bCs/>
                <w:szCs w:val="21"/>
              </w:rPr>
              <w:t>整改保障</w:t>
            </w:r>
          </w:p>
          <w:p>
            <w:pPr>
              <w:numPr>
                <w:numId w:val="0"/>
              </w:numPr>
              <w:topLinePunct/>
              <w:adjustRightInd w:val="0"/>
              <w:snapToGrid w:val="0"/>
              <w:spacing w:line="300" w:lineRule="auto"/>
              <w:ind w:leftChars="200"/>
              <w:rPr>
                <w:rFonts w:hint="eastAsia" w:ascii="华文细黑" w:hAnsi="华文细黑" w:eastAsia="华文细黑" w:cs="华文细黑"/>
                <w:bCs/>
                <w:szCs w:val="21"/>
              </w:rPr>
            </w:pPr>
          </w:p>
          <w:p>
            <w:pPr>
              <w:numPr>
                <w:ilvl w:val="2"/>
                <w:numId w:val="1"/>
              </w:numPr>
              <w:tabs>
                <w:tab w:val="left" w:pos="640"/>
                <w:tab w:val="clear" w:pos="1200"/>
              </w:tabs>
              <w:topLinePunct/>
              <w:adjustRightInd w:val="0"/>
              <w:snapToGrid w:val="0"/>
              <w:spacing w:line="300" w:lineRule="auto"/>
              <w:ind w:left="633" w:leftChars="103" w:hanging="417" w:hangingChars="199"/>
              <w:rPr>
                <w:rFonts w:hint="eastAsia" w:ascii="华文细黑" w:hAnsi="华文细黑" w:eastAsia="华文细黑" w:cs="华文细黑"/>
                <w:bCs/>
                <w:szCs w:val="21"/>
              </w:rPr>
            </w:pPr>
            <w:r>
              <w:rPr>
                <w:rFonts w:hint="eastAsia" w:ascii="华文细黑" w:hAnsi="华文细黑" w:eastAsia="华文细黑" w:cs="华文细黑"/>
                <w:bCs/>
                <w:szCs w:val="21"/>
              </w:rPr>
              <w:t>交房策划与组织执行的研讨分享：</w:t>
            </w:r>
          </w:p>
          <w:p>
            <w:pPr>
              <w:topLinePunct/>
              <w:adjustRightInd w:val="0"/>
              <w:snapToGrid w:val="0"/>
              <w:spacing w:line="300" w:lineRule="auto"/>
              <w:ind w:left="642" w:leftChars="207" w:hanging="207" w:hangingChars="99"/>
              <w:rPr>
                <w:rFonts w:hint="eastAsia" w:ascii="华文细黑" w:hAnsi="华文细黑" w:eastAsia="华文细黑" w:cs="华文细黑"/>
                <w:bCs/>
                <w:szCs w:val="21"/>
              </w:rPr>
            </w:pPr>
            <w:r>
              <w:rPr>
                <w:rFonts w:hint="eastAsia" w:ascii="华文细黑" w:hAnsi="华文细黑" w:eastAsia="华文细黑" w:cs="华文细黑"/>
                <w:bCs/>
                <w:szCs w:val="21"/>
              </w:rPr>
              <w:t>我们最需要借鉴和改善的是什么？</w:t>
            </w:r>
          </w:p>
          <w:p>
            <w:pPr>
              <w:topLinePunct/>
              <w:adjustRightInd w:val="0"/>
              <w:snapToGrid w:val="0"/>
              <w:spacing w:line="300" w:lineRule="auto"/>
              <w:ind w:left="642" w:leftChars="207" w:hanging="207" w:hangingChars="99"/>
              <w:rPr>
                <w:rFonts w:hint="eastAsia" w:ascii="华文细黑" w:hAnsi="华文细黑" w:eastAsia="华文细黑" w:cs="华文细黑"/>
                <w:b/>
                <w:szCs w:val="21"/>
              </w:rPr>
            </w:pPr>
            <w:r>
              <w:rPr>
                <w:rFonts w:hint="eastAsia" w:ascii="华文细黑" w:hAnsi="华文细黑" w:eastAsia="华文细黑" w:cs="华文细黑"/>
                <w:bCs/>
                <w:szCs w:val="21"/>
              </w:rPr>
              <w:t>行动计划与责任？...</w:t>
            </w:r>
          </w:p>
        </w:tc>
      </w:tr>
    </w:tbl>
    <w:p>
      <w:pPr>
        <w:topLinePunct/>
        <w:adjustRightInd w:val="0"/>
        <w:snapToGrid w:val="0"/>
        <w:spacing w:line="300" w:lineRule="auto"/>
        <w:ind w:left="420"/>
        <w:rPr>
          <w:rFonts w:hint="eastAsia" w:ascii="华文细黑" w:hAnsi="华文细黑" w:eastAsia="华文细黑" w:cs="华文细黑"/>
          <w:b/>
          <w:szCs w:val="21"/>
          <w:shd w:val="pct10" w:color="auto" w:fill="FFFFFF"/>
        </w:rPr>
      </w:pPr>
    </w:p>
    <w:p>
      <w:pPr>
        <w:topLinePunct/>
        <w:adjustRightInd w:val="0"/>
        <w:snapToGrid w:val="0"/>
        <w:spacing w:line="300" w:lineRule="auto"/>
        <w:ind w:left="420"/>
        <w:rPr>
          <w:rFonts w:hint="eastAsia" w:ascii="华文细黑" w:hAnsi="华文细黑" w:eastAsia="华文细黑" w:cs="华文细黑"/>
          <w:b/>
          <w:sz w:val="20"/>
          <w:szCs w:val="20"/>
        </w:rPr>
        <w:sectPr>
          <w:type w:val="continuous"/>
          <w:pgSz w:w="11907" w:h="16840"/>
          <w:pgMar w:top="1301" w:right="1134" w:bottom="1134" w:left="1134" w:header="851" w:footer="1055" w:gutter="0"/>
          <w:paperSrc w:first="7"/>
          <w:cols w:space="720" w:num="1"/>
          <w:docGrid w:type="lines" w:linePitch="312" w:charSpace="0"/>
        </w:sectPr>
      </w:pPr>
    </w:p>
    <w:p>
      <w:pPr>
        <w:topLinePunct/>
        <w:adjustRightInd w:val="0"/>
        <w:snapToGrid w:val="0"/>
        <w:spacing w:line="300" w:lineRule="auto"/>
        <w:ind w:left="420"/>
        <w:rPr>
          <w:rFonts w:hint="eastAsia" w:ascii="华文细黑" w:hAnsi="华文细黑" w:eastAsia="华文细黑" w:cs="华文细黑"/>
          <w:b/>
          <w:szCs w:val="21"/>
        </w:rPr>
      </w:pPr>
    </w:p>
    <w:p>
      <w:pPr>
        <w:numPr>
          <w:ilvl w:val="0"/>
          <w:numId w:val="1"/>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b/>
          <w:sz w:val="24"/>
        </w:rPr>
        <w:t>部分学员感受反馈：</w:t>
      </w:r>
      <w:r>
        <w:rPr>
          <w:rFonts w:hint="eastAsia" w:ascii="华文细黑" w:hAnsi="华文细黑" w:eastAsia="华文细黑" w:cs="华文细黑"/>
        </w:rPr>
        <w:t>       </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实用性强，案例有借鉴作用，为交付工作提供良好的问题解决途径。</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很受启发和教益，为交房工作储备了非常有用的知识。</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从学习中学到很多交房方式，对专业知识的空白点，充分做了补足。</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我的感悟：1. 交房满意的体验都是“策划”的结果；传承能够加速人才成长与培养；“追根溯源”是解决问题的根本；“工程营销”可大大地促进销售，给客户良好的感受；2. 顾客使用体验是我们的目标。</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标杆企业整改模式转变，从被动而为转变主动前期管控；追根溯源提要求，想到、说到、写到、做到、记到、优化到的方式方法；每个阶段都可以和营销做配合，关注业主的体验。</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对交房的过程及前期的管控有很好的了解和沉淀，在以后的日常工作有很好的指导作用。</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了解龙湖等知名房企的交房过程、注意点，以及应对管控，结合自身情况，应当如何处理在交房过程中出现的问题。</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通过这次听讲，从管理的思路上有了交房时对重点要求掌握问题的管控，在下一次交付时，可以准备系统化的资料与其他部门（公司内部）沟通。</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课程内容丰富，讲解到位，比较适合公司的实操性，对企业今后交房的改善，纠纷的处理，和前期产品整改及营销有积极的借鉴意义，希望以后有机会做进一步深入沟通和指导，谢谢。</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明白了交房的最终意义、目的。交房的成功是系统的成功，明白了预验房的重要性和必要性。明白了物业全程介入的意义。感谢孙老师的讲课！</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通过实例系统接触到很多交房经验及方法，了解并熟悉交房整个过程的策划、处理、解决过程，学习到了更多的交房技巧。</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对交房有了新的认识，交房是系统性的，交房的风险管控很重要。企业交房时的传承是我们公司需要重点做的。</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我认为本课程的价值是：成功交房只是第一步，交房成为营销手段，成为改善管理，完善机制的有效手段，重视传承，促进企业科学，有序发展。</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培养系统思维，能有效运用到交房及全过程对客户服务，处理客户纠纷方面，将客服思维贯穿房地产开发全过程。</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对地产开发管理思路的补充完善，在高度、广度上进行提升。交房不是目的，百年企业才是目标。</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交房是需要多个部门参与的活动；交房环境氛围的营造切入点；物业前介对整个项目的重要性；善于总结，知识沉淀，制度传承；发生群诉处理原则；媒体的特点与引导；整改维修的管理；物业公司对承建商的评价。</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对交房的各方面工作有了新的认识，学会了如何通过交房来提升服务品质，对交房的重要性和如何做，有了结合项目的做法构思。收获很大。</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交房不仅仅是顺利把房交出去，而是能通过一系列的组织策划，风险把控整改完善来提升交付体验，增强客户满意度及品牌溢价。</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系统完善的机制；风险管控的前置的重要性；交房顺利与否牵涉多环节多部门的协同落地总结。</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交房“体验”落地，要舍得投入；</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体会：1. 对房屋交付需高度重视，要提前策划好交付方案，制订突发事件应急预案，并做专项培训和演练；2. 对客户满意、触点管理，客户体验有新的理解，通过策划强化客户体验；“品质”管理的关键是前端“规划设计”“施工”过程的有效管控。</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很实用、很客观、很有指导性；通过学习，让自己明白今后工作的方向和目标，也学习了一流企业的管理精华，避免走弯路，方向偏离等问题。</w:t>
      </w:r>
    </w:p>
    <w:p>
      <w:pPr>
        <w:numPr>
          <w:ilvl w:val="0"/>
          <w:numId w:val="7"/>
        </w:numPr>
        <w:topLinePunct/>
        <w:adjustRightInd w:val="0"/>
        <w:snapToGrid w:val="0"/>
        <w:spacing w:line="300" w:lineRule="auto"/>
        <w:rPr>
          <w:rFonts w:hint="eastAsia" w:ascii="华文细黑" w:hAnsi="华文细黑" w:eastAsia="华文细黑" w:cs="华文细黑"/>
        </w:rPr>
      </w:pPr>
      <w:r>
        <w:rPr>
          <w:rFonts w:hint="eastAsia" w:ascii="华文细黑" w:hAnsi="华文细黑" w:eastAsia="华文细黑" w:cs="华文细黑"/>
        </w:rPr>
        <w:t>收获：1.通过营销手段、策划提升业主、客户体验，通过“小故事”分享来逐步引导业主，做好企业的正向引导，做好业主与企业共创价值的引导，2.交付不只是完成任务，也不单单是履行合同，通过交付、策划与营销手段，提升满意度与品牌效益，全体系营销的重要性。</w:t>
      </w:r>
    </w:p>
    <w:p>
      <w:pPr>
        <w:topLinePunct/>
        <w:adjustRightInd w:val="0"/>
        <w:snapToGrid w:val="0"/>
        <w:spacing w:line="300" w:lineRule="auto"/>
        <w:ind w:left="420"/>
        <w:rPr>
          <w:rFonts w:hint="eastAsia" w:ascii="微软雅黑" w:hAnsi="微软雅黑" w:eastAsia="微软雅黑" w:cs="微软雅黑"/>
        </w:rPr>
      </w:pPr>
    </w:p>
    <w:p>
      <w:pPr>
        <w:widowControl/>
        <w:topLinePunct/>
        <w:adjustRightInd w:val="0"/>
        <w:snapToGrid w:val="0"/>
        <w:spacing w:line="300" w:lineRule="auto"/>
        <w:rPr>
          <w:rFonts w:hint="eastAsia" w:ascii="微软雅黑" w:hAnsi="微软雅黑" w:eastAsia="微软雅黑" w:cs="微软雅黑"/>
          <w:bCs/>
          <w:szCs w:val="21"/>
        </w:rPr>
      </w:pPr>
    </w:p>
    <w:sectPr>
      <w:type w:val="continuous"/>
      <w:pgSz w:w="11907" w:h="16840"/>
      <w:pgMar w:top="1301" w:right="1134" w:bottom="1134" w:left="1134" w:header="851" w:footer="1055" w:gutter="0"/>
      <w:paperSrc w:first="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rPr>
    </w:pPr>
    <w:r>
      <w:fldChar w:fldCharType="begin"/>
    </w:r>
    <w:r>
      <w:rPr>
        <w:rStyle w:val="7"/>
      </w:rPr>
      <w:instrText xml:space="preserve"> NUMPAGES </w:instrText>
    </w:r>
    <w:r>
      <w:fldChar w:fldCharType="separate"/>
    </w:r>
    <w:r>
      <w:rPr>
        <w:rStyle w:val="7"/>
        <w:lang w:val="en-US" w:eastAsia="zh-CN"/>
      </w:rPr>
      <w:t>6</w:t>
    </w:r>
    <w:r>
      <w:fldChar w:fldCharType="end"/>
    </w:r>
    <w:r>
      <w:rPr>
        <w:rFonts w:ascii="宋体" w:hAnsi="宋体" w:cs="宋体"/>
        <w:kern w:val="0"/>
        <w:sz w:val="24"/>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64770</wp:posOffset>
              </wp:positionV>
              <wp:extent cx="2743200" cy="39624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43200" cy="396240"/>
                      </a:xfrm>
                      <a:prstGeom prst="rect">
                        <a:avLst/>
                      </a:prstGeom>
                      <a:noFill/>
                      <a:ln>
                        <a:noFill/>
                      </a:ln>
                    </wps:spPr>
                    <wps:txbx>
                      <w:txbxContent>
                        <w:p>
                          <w:pPr>
                            <w:rPr>
                              <w:rFonts w:hint="eastAsia"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5.1pt;height:31.2pt;width:216pt;z-index:-251657216;mso-width-relative:page;mso-height-relative:page;" filled="f" stroked="f" coordsize="21600,21600" o:gfxdata="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rl9r7TAAAABgEAAA8AAAAAAAAA&#10;AQAgAAAAIgAAAGRycy9kb3ducmV2LnhtbFBLAQIUABQAAAAIAIdO4kDDhqEJFgIAABUEAAAOAAAA&#10;AAAAAAEAIAAAACIBAABkcnMvZTJvRG9jLnhtbFBLBQYAAAAABgAGAFkBAACqBQAAAAA=&#10;">
              <v:fill on="f" focussize="0,0"/>
              <v:stroke on="f"/>
              <v:imagedata o:title=""/>
              <o:lock v:ext="edit" aspectratio="f"/>
              <v:textbox>
                <w:txbxContent>
                  <w:p>
                    <w:pPr>
                      <w:rPr>
                        <w:rFonts w:hint="eastAsia"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v:textbox>
            </v:shape>
          </w:pict>
        </mc:Fallback>
      </mc:AlternateContent>
    </w:r>
    <w:r>
      <w:rPr>
        <w:rStyle w:val="7"/>
        <w:rFonts w:hint="eastAsia"/>
      </w:rPr>
      <w:t>-</w:t>
    </w:r>
    <w:r>
      <w:fldChar w:fldCharType="begin"/>
    </w:r>
    <w:r>
      <w:rPr>
        <w:rStyle w:val="7"/>
      </w:rPr>
      <w:instrText xml:space="preserve"> PAGE </w:instrText>
    </w:r>
    <w:r>
      <w:fldChar w:fldCharType="separate"/>
    </w:r>
    <w:r>
      <w:rPr>
        <w:rStyle w:val="7"/>
        <w:lang w:val="en-US" w:eastAsia="zh-CN"/>
      </w:rP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108F1"/>
    <w:multiLevelType w:val="singleLevel"/>
    <w:tmpl w:val="830108F1"/>
    <w:lvl w:ilvl="0" w:tentative="0">
      <w:start w:val="1"/>
      <w:numFmt w:val="decimal"/>
      <w:suff w:val="nothing"/>
      <w:lvlText w:val="%1．"/>
      <w:lvlJc w:val="left"/>
      <w:pPr>
        <w:ind w:left="0" w:firstLine="400"/>
      </w:pPr>
      <w:rPr>
        <w:rFonts w:hint="default"/>
      </w:rPr>
    </w:lvl>
  </w:abstractNum>
  <w:abstractNum w:abstractNumId="1">
    <w:nsid w:val="BCA20567"/>
    <w:multiLevelType w:val="singleLevel"/>
    <w:tmpl w:val="BCA20567"/>
    <w:lvl w:ilvl="0" w:tentative="0">
      <w:start w:val="1"/>
      <w:numFmt w:val="decimalEnclosedCircleChinese"/>
      <w:suff w:val="nothing"/>
      <w:lvlText w:val="%1　"/>
      <w:lvlJc w:val="left"/>
      <w:pPr>
        <w:ind w:left="0" w:firstLine="400"/>
      </w:pPr>
      <w:rPr>
        <w:rFonts w:hint="eastAsia"/>
      </w:rPr>
    </w:lvl>
  </w:abstractNum>
  <w:abstractNum w:abstractNumId="2">
    <w:nsid w:val="F27E9FF1"/>
    <w:multiLevelType w:val="singleLevel"/>
    <w:tmpl w:val="F27E9FF1"/>
    <w:lvl w:ilvl="0" w:tentative="0">
      <w:start w:val="1"/>
      <w:numFmt w:val="decimalEnclosedCircleChinese"/>
      <w:suff w:val="nothing"/>
      <w:lvlText w:val="%1　"/>
      <w:lvlJc w:val="left"/>
      <w:pPr>
        <w:ind w:left="0" w:firstLine="400"/>
      </w:pPr>
      <w:rPr>
        <w:rFonts w:hint="eastAsia"/>
      </w:rPr>
    </w:lvl>
  </w:abstractNum>
  <w:abstractNum w:abstractNumId="3">
    <w:nsid w:val="020769EE"/>
    <w:multiLevelType w:val="multilevel"/>
    <w:tmpl w:val="020769EE"/>
    <w:lvl w:ilvl="0" w:tentative="0">
      <w:start w:val="1"/>
      <w:numFmt w:val="chineseCountingThousand"/>
      <w:lvlText w:val="%1."/>
      <w:lvlJc w:val="left"/>
      <w:pPr>
        <w:tabs>
          <w:tab w:val="left" w:pos="420"/>
        </w:tabs>
        <w:ind w:left="420" w:hanging="420"/>
      </w:pPr>
      <w:rPr>
        <w:rFonts w:hint="eastAsia"/>
        <w:lang w:val="en-US"/>
      </w:rPr>
    </w:lvl>
    <w:lvl w:ilvl="1" w:tentative="0">
      <w:start w:val="1"/>
      <w:numFmt w:val="chineseCountingThousand"/>
      <w:lvlText w:val="(%2)"/>
      <w:lvlJc w:val="left"/>
      <w:pPr>
        <w:tabs>
          <w:tab w:val="left" w:pos="840"/>
        </w:tabs>
        <w:ind w:left="840" w:hanging="420"/>
      </w:pPr>
      <w:rPr>
        <w:rFonts w:hint="eastAsia"/>
        <w:lang w:val="en-US"/>
      </w:rPr>
    </w:lvl>
    <w:lvl w:ilvl="2" w:tentative="0">
      <w:start w:val="1"/>
      <w:numFmt w:val="decimal"/>
      <w:lvlText w:val="%3."/>
      <w:lvlJc w:val="left"/>
      <w:pPr>
        <w:tabs>
          <w:tab w:val="left" w:pos="1200"/>
        </w:tabs>
        <w:ind w:left="1200" w:hanging="360"/>
      </w:pPr>
      <w:rPr>
        <w:rFonts w:hint="default"/>
        <w:lang w:val="en-US"/>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12C98BF"/>
    <w:multiLevelType w:val="singleLevel"/>
    <w:tmpl w:val="412C98BF"/>
    <w:lvl w:ilvl="0" w:tentative="0">
      <w:start w:val="1"/>
      <w:numFmt w:val="decimalEnclosedCircleChinese"/>
      <w:suff w:val="nothing"/>
      <w:lvlText w:val="%1　"/>
      <w:lvlJc w:val="left"/>
      <w:pPr>
        <w:ind w:left="0" w:firstLine="400"/>
      </w:pPr>
      <w:rPr>
        <w:rFonts w:hint="eastAsia"/>
      </w:rPr>
    </w:lvl>
  </w:abstractNum>
  <w:abstractNum w:abstractNumId="5">
    <w:nsid w:val="4B10769C"/>
    <w:multiLevelType w:val="multilevel"/>
    <w:tmpl w:val="4B10769C"/>
    <w:lvl w:ilvl="0" w:tentative="0">
      <w:start w:val="1"/>
      <w:numFmt w:val="bullet"/>
      <w:lvlText w:val="•"/>
      <w:lvlJc w:val="left"/>
      <w:pPr>
        <w:tabs>
          <w:tab w:val="left" w:pos="840"/>
        </w:tabs>
        <w:ind w:left="840" w:hanging="420"/>
      </w:pPr>
      <w:rPr>
        <w:rFonts w:hint="eastAsia" w:ascii="华文宋体" w:hAnsi="华文宋体" w:eastAsia="华文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77CAC287"/>
    <w:multiLevelType w:val="singleLevel"/>
    <w:tmpl w:val="77CAC287"/>
    <w:lvl w:ilvl="0" w:tentative="0">
      <w:start w:val="1"/>
      <w:numFmt w:val="decimalEnclosedCircleChinese"/>
      <w:suff w:val="nothing"/>
      <w:lvlText w:val="%1　"/>
      <w:lvlJc w:val="left"/>
      <w:pPr>
        <w:ind w:left="0" w:firstLine="400"/>
      </w:pPr>
      <w:rPr>
        <w:rFonts w:hint="eastAsia"/>
      </w:rPr>
    </w:lvl>
  </w:abstractNum>
  <w:num w:numId="1">
    <w:abstractNumId w:val="3"/>
  </w:num>
  <w:num w:numId="2">
    <w:abstractNumId w:val="0"/>
  </w:num>
  <w:num w:numId="3">
    <w:abstractNumId w:val="2"/>
  </w:num>
  <w:num w:numId="4">
    <w:abstractNumId w:val="4"/>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ZTE5ZmQxMGI0OGRhOWJkNTg0MmNhNDMxZWFhZjYifQ=="/>
  </w:docVars>
  <w:rsids>
    <w:rsidRoot w:val="00CA7F2B"/>
    <w:rsid w:val="00005DD7"/>
    <w:rsid w:val="00026C75"/>
    <w:rsid w:val="00042F94"/>
    <w:rsid w:val="0004546E"/>
    <w:rsid w:val="00053D1C"/>
    <w:rsid w:val="000640F2"/>
    <w:rsid w:val="000700B8"/>
    <w:rsid w:val="000702CC"/>
    <w:rsid w:val="00077107"/>
    <w:rsid w:val="000827DC"/>
    <w:rsid w:val="000924BA"/>
    <w:rsid w:val="00092A39"/>
    <w:rsid w:val="000A2394"/>
    <w:rsid w:val="000E53E1"/>
    <w:rsid w:val="000E5F1C"/>
    <w:rsid w:val="001011BA"/>
    <w:rsid w:val="00130E4C"/>
    <w:rsid w:val="00134733"/>
    <w:rsid w:val="00140269"/>
    <w:rsid w:val="00151D18"/>
    <w:rsid w:val="00157B08"/>
    <w:rsid w:val="001641DA"/>
    <w:rsid w:val="00167CC9"/>
    <w:rsid w:val="0017452D"/>
    <w:rsid w:val="00190C0A"/>
    <w:rsid w:val="001914B4"/>
    <w:rsid w:val="001A0A32"/>
    <w:rsid w:val="001A3C47"/>
    <w:rsid w:val="001E7ECE"/>
    <w:rsid w:val="002022F3"/>
    <w:rsid w:val="00250373"/>
    <w:rsid w:val="00267A25"/>
    <w:rsid w:val="003041BC"/>
    <w:rsid w:val="00314E7F"/>
    <w:rsid w:val="003303B8"/>
    <w:rsid w:val="00344602"/>
    <w:rsid w:val="00346A71"/>
    <w:rsid w:val="003542E2"/>
    <w:rsid w:val="00356E83"/>
    <w:rsid w:val="00356E9C"/>
    <w:rsid w:val="0037402F"/>
    <w:rsid w:val="003A612F"/>
    <w:rsid w:val="003A6362"/>
    <w:rsid w:val="003C48F9"/>
    <w:rsid w:val="003D730C"/>
    <w:rsid w:val="003E26CA"/>
    <w:rsid w:val="003F28C4"/>
    <w:rsid w:val="003F64BE"/>
    <w:rsid w:val="00415C0F"/>
    <w:rsid w:val="00437C4D"/>
    <w:rsid w:val="004573EF"/>
    <w:rsid w:val="00463346"/>
    <w:rsid w:val="004946A6"/>
    <w:rsid w:val="004D5108"/>
    <w:rsid w:val="004D5D9A"/>
    <w:rsid w:val="004F576E"/>
    <w:rsid w:val="00504F26"/>
    <w:rsid w:val="00560BBB"/>
    <w:rsid w:val="0059077E"/>
    <w:rsid w:val="005A3C02"/>
    <w:rsid w:val="005A4353"/>
    <w:rsid w:val="005B7060"/>
    <w:rsid w:val="005D3D8A"/>
    <w:rsid w:val="005F130A"/>
    <w:rsid w:val="00617E12"/>
    <w:rsid w:val="006309A4"/>
    <w:rsid w:val="00634ACF"/>
    <w:rsid w:val="00654D3D"/>
    <w:rsid w:val="00681F2B"/>
    <w:rsid w:val="00695549"/>
    <w:rsid w:val="00697F66"/>
    <w:rsid w:val="006B7D08"/>
    <w:rsid w:val="006D7CA8"/>
    <w:rsid w:val="006E4FEA"/>
    <w:rsid w:val="00700849"/>
    <w:rsid w:val="007237B5"/>
    <w:rsid w:val="007635E4"/>
    <w:rsid w:val="00781D54"/>
    <w:rsid w:val="00785C05"/>
    <w:rsid w:val="0079276E"/>
    <w:rsid w:val="00795E92"/>
    <w:rsid w:val="007A5BFD"/>
    <w:rsid w:val="007B6E35"/>
    <w:rsid w:val="007B7464"/>
    <w:rsid w:val="007C2D13"/>
    <w:rsid w:val="007F56F4"/>
    <w:rsid w:val="00820D9B"/>
    <w:rsid w:val="00832D24"/>
    <w:rsid w:val="0083561E"/>
    <w:rsid w:val="008453EC"/>
    <w:rsid w:val="00847661"/>
    <w:rsid w:val="0086407A"/>
    <w:rsid w:val="00892C24"/>
    <w:rsid w:val="008A4E16"/>
    <w:rsid w:val="008B25C8"/>
    <w:rsid w:val="008B543D"/>
    <w:rsid w:val="008C3196"/>
    <w:rsid w:val="008F28C7"/>
    <w:rsid w:val="008F321D"/>
    <w:rsid w:val="009032C1"/>
    <w:rsid w:val="0094339E"/>
    <w:rsid w:val="00976C8D"/>
    <w:rsid w:val="009C7CD7"/>
    <w:rsid w:val="009D141F"/>
    <w:rsid w:val="009E27AA"/>
    <w:rsid w:val="009F2F0E"/>
    <w:rsid w:val="00A047B3"/>
    <w:rsid w:val="00A40099"/>
    <w:rsid w:val="00A6224D"/>
    <w:rsid w:val="00A70CA3"/>
    <w:rsid w:val="00A82153"/>
    <w:rsid w:val="00A873E8"/>
    <w:rsid w:val="00AA4500"/>
    <w:rsid w:val="00AC2E26"/>
    <w:rsid w:val="00AE642A"/>
    <w:rsid w:val="00AE7F1F"/>
    <w:rsid w:val="00B25A39"/>
    <w:rsid w:val="00B54204"/>
    <w:rsid w:val="00B64C5D"/>
    <w:rsid w:val="00B66124"/>
    <w:rsid w:val="00B776DC"/>
    <w:rsid w:val="00B9168C"/>
    <w:rsid w:val="00BA1812"/>
    <w:rsid w:val="00C035B9"/>
    <w:rsid w:val="00C1436A"/>
    <w:rsid w:val="00C34A18"/>
    <w:rsid w:val="00C71133"/>
    <w:rsid w:val="00CA7F2B"/>
    <w:rsid w:val="00CC1CA5"/>
    <w:rsid w:val="00CC2E2A"/>
    <w:rsid w:val="00CC6620"/>
    <w:rsid w:val="00CE4E7A"/>
    <w:rsid w:val="00D14EE2"/>
    <w:rsid w:val="00D414D6"/>
    <w:rsid w:val="00D654F1"/>
    <w:rsid w:val="00D75179"/>
    <w:rsid w:val="00D917D8"/>
    <w:rsid w:val="00DB1235"/>
    <w:rsid w:val="00DF6700"/>
    <w:rsid w:val="00E372D8"/>
    <w:rsid w:val="00E409F8"/>
    <w:rsid w:val="00E533DE"/>
    <w:rsid w:val="00E7213B"/>
    <w:rsid w:val="00E820EE"/>
    <w:rsid w:val="00E914AF"/>
    <w:rsid w:val="00E91C43"/>
    <w:rsid w:val="00EB73FF"/>
    <w:rsid w:val="00EC16C6"/>
    <w:rsid w:val="00EE129E"/>
    <w:rsid w:val="00F04692"/>
    <w:rsid w:val="00F04D24"/>
    <w:rsid w:val="00F06F4E"/>
    <w:rsid w:val="00F116B4"/>
    <w:rsid w:val="00F237DB"/>
    <w:rsid w:val="00F46F6E"/>
    <w:rsid w:val="00F80BE2"/>
    <w:rsid w:val="00F81547"/>
    <w:rsid w:val="00F87C7C"/>
    <w:rsid w:val="00F9386B"/>
    <w:rsid w:val="00F94B3C"/>
    <w:rsid w:val="00FC0F88"/>
    <w:rsid w:val="00FC1885"/>
    <w:rsid w:val="020275D0"/>
    <w:rsid w:val="0A4D3C73"/>
    <w:rsid w:val="0D470F2D"/>
    <w:rsid w:val="134002D3"/>
    <w:rsid w:val="134D00B5"/>
    <w:rsid w:val="190A555B"/>
    <w:rsid w:val="1F0C7B14"/>
    <w:rsid w:val="200508F0"/>
    <w:rsid w:val="27982D33"/>
    <w:rsid w:val="314E5347"/>
    <w:rsid w:val="324518F3"/>
    <w:rsid w:val="3F985BF2"/>
    <w:rsid w:val="47A75395"/>
    <w:rsid w:val="4A7057DF"/>
    <w:rsid w:val="4AA0741F"/>
    <w:rsid w:val="5100050C"/>
    <w:rsid w:val="571728C1"/>
    <w:rsid w:val="57304853"/>
    <w:rsid w:val="5F2B0E69"/>
    <w:rsid w:val="5F772E68"/>
    <w:rsid w:val="61255A26"/>
    <w:rsid w:val="661F6EB3"/>
    <w:rsid w:val="68CA2026"/>
    <w:rsid w:val="69D73223"/>
    <w:rsid w:val="6CCC1C10"/>
    <w:rsid w:val="6DB67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uiPriority w:val="0"/>
  </w:style>
  <w:style w:type="character" w:styleId="8">
    <w:name w:val="Hyperlink"/>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hanga</Company>
  <Pages>4</Pages>
  <Words>2741</Words>
  <Characters>2753</Characters>
  <Lines>22</Lines>
  <Paragraphs>6</Paragraphs>
  <TotalTime>6</TotalTime>
  <ScaleCrop>false</ScaleCrop>
  <LinksUpToDate>false</LinksUpToDate>
  <CharactersWithSpaces>2768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客户满意交房组织策划</dc:title>
  <dc:creator>龙湖解析专家孙凡; 13508359518</dc:creator>
  <cp:lastModifiedBy>孙凡</cp:lastModifiedBy>
  <cp:revision>4</cp:revision>
  <dcterms:created xsi:type="dcterms:W3CDTF">2022-06-21T03:54:00Z</dcterms:created>
  <dcterms:modified xsi:type="dcterms:W3CDTF">2023-08-24T02:52:05Z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4F0A1B8A125340DF87A444EB0C8441FF_12</vt:lpwstr>
  </property>
</Properties>
</file>