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bCs/>
          <w:color w:val="000000"/>
          <w:lang w:val="en-US"/>
        </w:rPr>
      </w:pPr>
      <w:r>
        <w:rPr>
          <w:rFonts w:hint="eastAsia" w:ascii="微软雅黑" w:hAnsi="微软雅黑" w:eastAsia="微软雅黑"/>
          <w:b/>
          <w:bCs/>
          <w:color w:val="000000"/>
          <w:sz w:val="32"/>
          <w:lang w:val="en-US" w:eastAsia="zh-CN"/>
        </w:rPr>
        <w:t>数字化私域运营课程</w:t>
      </w:r>
    </w:p>
    <w:p>
      <w:pPr>
        <w:jc w:val="center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</w:rPr>
        <w:t>主讲：</w:t>
      </w: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王军古</w:t>
      </w:r>
    </w:p>
    <w:p>
      <w:pPr>
        <w:jc w:val="center"/>
        <w:rPr>
          <w:rFonts w:hint="default" w:ascii="微软雅黑" w:hAnsi="微软雅黑" w:eastAsia="微软雅黑"/>
          <w:b/>
          <w:bCs/>
          <w:color w:val="000000"/>
          <w:lang w:val="en-US" w:eastAsia="zh-CN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71" w:leftChars="113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实战派讲师，人和岛特约撰稿人、中国地质大学（武汉）珠宝学院（GIC）特聘讲师，中管院客座教授。2012年进入互联网电商赛道，2017年投身新媒体营销领域，是恒驰汽车、金寜集团、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71" w:leftChars="113" w:right="0" w:firstLine="480" w:firstLineChars="200"/>
        <w:jc w:val="both"/>
        <w:rPr>
          <w:rFonts w:hint="eastAsia" w:ascii="微软雅黑" w:hAnsi="微软雅黑" w:eastAsia="微软雅黑" w:cs="微软雅黑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曾为500强华润（燃气）营销总监、无忧传媒新媒体学苑副院长、恒驰汽车集团数字营销总监，百战之后再授课，并拥有师资团队为品牌落地赋能！</w:t>
      </w:r>
    </w:p>
    <w:p>
      <w:pPr>
        <w:tabs>
          <w:tab w:val="left" w:pos="1590"/>
        </w:tabs>
        <w:spacing w:line="360" w:lineRule="auto"/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</w:pPr>
    </w:p>
    <w:p>
      <w:pPr>
        <w:tabs>
          <w:tab w:val="left" w:pos="1590"/>
        </w:tabs>
        <w:spacing w:line="360" w:lineRule="auto"/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课程背景：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微软雅黑" w:hAnsi="微软雅黑" w:eastAsia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0000"/>
          <w:lang w:val="en-US" w:eastAsia="zh-CN"/>
        </w:rPr>
        <w:t>随着直播电商的崛起，社交媒体线上获客营销倍受瞩目，私域流量开发不仅成为汽车主机厂的关注点，同时也给营销带来了前所未有的机遇和挑战。微信作为品牌与客户沟通桥梁，是营销的最重要平台之一。在互联网大数据时代，得客户者的天下，汽车品牌打造如何更专业用户体验、更准确进行</w:t>
      </w:r>
      <w:r>
        <w:rPr>
          <w:rFonts w:hint="eastAsia" w:ascii="微软雅黑" w:hAnsi="微软雅黑" w:eastAsia="微软雅黑"/>
          <w:b w:val="0"/>
          <w:bCs/>
          <w:color w:val="000000"/>
        </w:rPr>
        <w:t>私域流量开发定位与营销战略</w:t>
      </w:r>
      <w:r>
        <w:rPr>
          <w:rFonts w:hint="eastAsia" w:ascii="微软雅黑" w:hAnsi="微软雅黑" w:eastAsia="微软雅黑"/>
          <w:b w:val="0"/>
          <w:bCs/>
          <w:color w:val="000000"/>
          <w:lang w:val="en-US" w:eastAsia="zh-CN"/>
        </w:rPr>
        <w:t>呢？我们将从本次课程全方位的去了解和学习。</w:t>
      </w:r>
    </w:p>
    <w:p>
      <w:pPr>
        <w:tabs>
          <w:tab w:val="left" w:pos="1590"/>
        </w:tabs>
        <w:spacing w:line="360" w:lineRule="auto"/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课程收益：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ind w:leftChars="0"/>
        <w:rPr>
          <w:rFonts w:hint="default" w:ascii="微软雅黑" w:hAnsi="微软雅黑" w:eastAsia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24"/>
          <w:szCs w:val="24"/>
          <w:lang w:val="en-US" w:eastAsia="zh-CN"/>
        </w:rPr>
        <w:t>收益1：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了解汽车行业数字营销调整和行动地图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ind w:leftChars="0"/>
        <w:rPr>
          <w:rFonts w:hint="default" w:ascii="微软雅黑" w:hAnsi="微软雅黑" w:eastAsia="微软雅黑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24"/>
          <w:szCs w:val="24"/>
          <w:lang w:val="en-US" w:eastAsia="zh-CN"/>
        </w:rPr>
        <w:t>收益2：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掌握企业微信的营销路径和执行SOP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ind w:leftChars="0"/>
        <w:rPr>
          <w:rFonts w:hint="default" w:ascii="微软雅黑" w:hAnsi="微软雅黑" w:eastAsia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24"/>
          <w:szCs w:val="24"/>
          <w:lang w:val="en-US" w:eastAsia="zh-CN"/>
        </w:rPr>
        <w:t>收益3：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学习数字化私域运营体系构建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ind w:leftChars="0"/>
        <w:rPr>
          <w:rFonts w:hint="default" w:ascii="微软雅黑" w:hAnsi="微软雅黑" w:eastAsia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24"/>
          <w:szCs w:val="24"/>
          <w:lang w:val="en-US" w:eastAsia="zh-CN"/>
        </w:rPr>
        <w:t>收益4：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掌握APP用户的运营与转化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ind w:leftChars="0"/>
        <w:rPr>
          <w:rFonts w:hint="default" w:ascii="微软雅黑" w:hAnsi="微软雅黑" w:eastAsia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24"/>
          <w:szCs w:val="24"/>
          <w:lang w:val="en-US" w:eastAsia="zh-CN"/>
        </w:rPr>
        <w:t>收益5：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学会APP营销场景的搭建和用户分成运营</w:t>
      </w:r>
    </w:p>
    <w:p>
      <w:pPr>
        <w:pStyle w:val="8"/>
        <w:framePr w:wrap="auto" w:vAnchor="margin" w:hAnchor="text" w:yAlign="inline"/>
        <w:numPr>
          <w:ilvl w:val="0"/>
          <w:numId w:val="0"/>
        </w:numPr>
        <w:spacing w:line="360" w:lineRule="auto"/>
        <w:ind w:leftChars="0" w:right="0" w:rightChars="0"/>
        <w:jc w:val="both"/>
        <w:rPr>
          <w:rFonts w:hint="default" w:ascii="微软雅黑" w:hAnsi="微软雅黑" w:eastAsia="微软雅黑" w:cs="微软雅黑"/>
          <w:b w:val="0"/>
          <w:bCs w:val="0"/>
          <w:i w:val="0"/>
          <w:iCs w:val="0"/>
          <w:sz w:val="24"/>
          <w:szCs w:val="24"/>
          <w:rtl w:val="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sz w:val="24"/>
          <w:szCs w:val="24"/>
          <w:rtl w:val="0"/>
          <w:lang w:val="en-US" w:eastAsia="zh-CN"/>
        </w:rPr>
        <w:t>收益6：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获得一套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sz w:val="24"/>
          <w:szCs w:val="24"/>
          <w:rtl w:val="0"/>
          <w:lang w:val="en-US" w:eastAsia="zh-CN"/>
        </w:rPr>
        <w:t>私域流量的内容构建方法和转化模型</w:t>
      </w:r>
    </w:p>
    <w:p>
      <w:pPr>
        <w:numPr>
          <w:ilvl w:val="0"/>
          <w:numId w:val="0"/>
        </w:numPr>
        <w:tabs>
          <w:tab w:val="left" w:pos="1590"/>
        </w:tabs>
        <w:spacing w:line="360" w:lineRule="auto"/>
        <w:rPr>
          <w:rFonts w:hint="default" w:ascii="微软雅黑" w:hAnsi="微软雅黑" w:eastAsia="微软雅黑"/>
          <w:b w:val="0"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课程时长：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1天（6h/天）</w:t>
      </w:r>
    </w:p>
    <w:p>
      <w:pPr>
        <w:tabs>
          <w:tab w:val="left" w:pos="1590"/>
        </w:tabs>
        <w:spacing w:line="360" w:lineRule="auto"/>
        <w:rPr>
          <w:rFonts w:hint="default" w:ascii="微软雅黑" w:hAnsi="微软雅黑" w:eastAsia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授课对象：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汽车行业运营岗、推广岗、营销岗、电商</w:t>
      </w:r>
      <w:bookmarkStart w:id="0" w:name="_GoBack"/>
      <w:bookmarkEnd w:id="0"/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岗</w:t>
      </w:r>
    </w:p>
    <w:p>
      <w:pPr>
        <w:tabs>
          <w:tab w:val="left" w:pos="1590"/>
        </w:tabs>
        <w:spacing w:line="360" w:lineRule="auto"/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授课方式：</w:t>
      </w:r>
      <w:r>
        <w:rPr>
          <w:rFonts w:hint="eastAsia" w:ascii="微软雅黑" w:hAnsi="微软雅黑" w:eastAsia="微软雅黑"/>
          <w:b w:val="0"/>
          <w:bCs/>
          <w:sz w:val="24"/>
          <w:szCs w:val="24"/>
          <w:lang w:val="en-US" w:eastAsia="zh-CN"/>
        </w:rPr>
        <w:t>方法论讲授、案例拆解、模拟演练、小组讨论</w:t>
      </w:r>
    </w:p>
    <w:p>
      <w:pPr>
        <w:tabs>
          <w:tab w:val="left" w:pos="1590"/>
        </w:tabs>
        <w:spacing w:line="360" w:lineRule="auto"/>
        <w:rPr>
          <w:rFonts w:ascii="微软雅黑" w:hAnsi="微软雅黑" w:eastAsia="微软雅黑"/>
          <w:b/>
          <w:sz w:val="28"/>
          <w:szCs w:val="28"/>
          <w:highlight w:val="yellow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yellow"/>
        </w:rPr>
        <w:t>课程大纲</w:t>
      </w:r>
      <w:r>
        <w:rPr>
          <w:rFonts w:ascii="微软雅黑" w:hAnsi="微软雅黑" w:eastAsia="微软雅黑"/>
          <w:b/>
          <w:sz w:val="28"/>
          <w:szCs w:val="28"/>
          <w:highlight w:val="yellow"/>
        </w:rPr>
        <w:t>：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 xml:space="preserve">第1节 </w:t>
      </w:r>
      <w:r>
        <w:rPr>
          <w:rFonts w:hint="eastAsia"/>
          <w:lang w:val="en-US" w:eastAsia="zh-CN"/>
        </w:rPr>
        <w:t>汽车</w:t>
      </w:r>
      <w:r>
        <w:rPr>
          <w:rFonts w:hint="eastAsia"/>
        </w:rPr>
        <w:t>拓客挑战</w:t>
      </w:r>
      <w:r>
        <w:rPr>
          <w:rFonts w:hint="eastAsia"/>
          <w:lang w:val="en-US" w:eastAsia="zh-CN"/>
        </w:rPr>
        <w:t>&amp;</w:t>
      </w:r>
      <w:r>
        <w:rPr>
          <w:rFonts w:hint="eastAsia"/>
        </w:rPr>
        <w:t>营销行动地图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一、汽车</w:t>
      </w:r>
      <w:r>
        <w:rPr>
          <w:rFonts w:hint="eastAsia"/>
          <w:b/>
          <w:bCs/>
        </w:rPr>
        <w:t>业务拓展面临的四项挑战</w:t>
      </w:r>
    </w:p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1、经济下行导致购车需求下降和消费观望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2、车企服务“同质化”导致</w:t>
      </w:r>
      <w:r>
        <w:rPr>
          <w:rFonts w:hint="eastAsia"/>
        </w:rPr>
        <w:t>市场竞争烈度提高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3、汽车销售</w:t>
      </w:r>
      <w:r>
        <w:rPr>
          <w:rFonts w:hint="eastAsia"/>
        </w:rPr>
        <w:t>线上化加剧，年轻客群获客更难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4、存量竞争时代，造车新势力的蚕食渗透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eastAsia"/>
          <w:b/>
          <w:bCs/>
        </w:rPr>
        <w:t>正本清源说</w:t>
      </w:r>
      <w:r>
        <w:rPr>
          <w:rFonts w:hint="eastAsia"/>
          <w:b/>
          <w:bCs/>
          <w:lang w:val="en-US" w:eastAsia="zh-CN"/>
        </w:rPr>
        <w:t>微信</w:t>
      </w:r>
      <w:r>
        <w:rPr>
          <w:rFonts w:hint="eastAsia"/>
          <w:b/>
          <w:bCs/>
        </w:rPr>
        <w:t>营销</w:t>
      </w:r>
    </w:p>
    <w:p>
      <w:pPr>
        <w:rPr>
          <w:rFonts w:hint="eastAsia"/>
        </w:rPr>
      </w:pPr>
      <w:r>
        <w:rPr>
          <w:rFonts w:hint="eastAsia"/>
        </w:rPr>
        <w:t>从“第一性原理”再论“</w:t>
      </w:r>
      <w:r>
        <w:rPr>
          <w:rFonts w:hint="eastAsia"/>
          <w:lang w:val="en-US" w:eastAsia="zh-CN"/>
        </w:rPr>
        <w:t>6S互动</w:t>
      </w:r>
      <w:r>
        <w:rPr>
          <w:rFonts w:hint="eastAsia"/>
        </w:rPr>
        <w:t>营销模型”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三、企微</w:t>
      </w:r>
      <w:r>
        <w:rPr>
          <w:rFonts w:hint="eastAsia"/>
          <w:b/>
          <w:bCs/>
        </w:rPr>
        <w:t>营销行动地图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第1步：品牌营销-解决心智占领问题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第2步：产品设计-解决价值系统问题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第3步：营销策略-解决营销拓客问题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第4步：流量经营-解决私域运营问题</w:t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节 </w:t>
      </w:r>
      <w:r>
        <w:rPr>
          <w:rFonts w:hint="eastAsia"/>
          <w:lang w:val="en-US" w:eastAsia="zh-CN"/>
        </w:rPr>
        <w:t>汽车行业企微营销</w:t>
      </w:r>
    </w:p>
    <w:p>
      <w:pPr>
        <w:rPr>
          <w:rFonts w:hint="default" w:cs="Times New Roman"/>
          <w:b/>
          <w:bCs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一、汽车行业企业微信运用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1、企业微信背后的获客逻辑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2、企业微信营销搭建标准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3、企业微信朋友圈推广执行标准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4、利用企业微信构建新的私域流量池</w:t>
      </w:r>
    </w:p>
    <w:p>
      <w:pPr>
        <w:rPr>
          <w:rFonts w:hint="default" w:cs="Times New Roman"/>
          <w:b/>
          <w:bCs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二、企业微信客户营销动作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1、被动与客户互动的10字诀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2、主动与客户互动的时机选择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3、利用关键场景互动有价值的内容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4、如何做到——打好标签做好客户分类管理</w:t>
      </w:r>
    </w:p>
    <w:p>
      <w:pPr>
        <w:rPr>
          <w:rFonts w:hint="eastAsia" w:cs="Times New Roman"/>
          <w:lang w:val="en-US" w:eastAsia="zh-CN"/>
        </w:rPr>
      </w:pP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课堂练习：1、现场操作给客户批量标签；2、做客户分类</w:t>
      </w:r>
    </w:p>
    <w:p>
      <w:pPr>
        <w:pStyle w:val="2"/>
        <w:bidi w:val="0"/>
        <w:rPr>
          <w:rFonts w:hint="default" w:eastAsia="宋体"/>
          <w:lang w:val="en-US" w:eastAsia="zh-CN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节 </w:t>
      </w:r>
      <w:r>
        <w:rPr>
          <w:rFonts w:hint="eastAsia"/>
          <w:lang w:val="en-US" w:eastAsia="zh-CN"/>
        </w:rPr>
        <w:t>私域数字化运营策略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一、私域数字运营体系构建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1、私域流量数字化运营体系构建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2、私域流量数字化运营误区与注意事项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3、私域流量数字化运营的链路设计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4、私域流量数字化运营的实施步骤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二、用户黄金运营周期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1、五大用户黄金运营周期模型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2、不同阶段的用户运营法则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3、私域流量池的加粉引流玩法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4、私域流量活跃、转化的套路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5、盘活沉睡粉丝的3个实用技巧</w:t>
      </w:r>
    </w:p>
    <w:p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三、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APP用户的运营与转化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1、社交媒体时代，APP拉新策略与技巧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2、如何定义超级用户、找到超级用户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3、超级用户进阶之路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4、汽车行业超级用户养成方案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四、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APP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用户分层运营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1、用户分层运营的n个价值点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2、用户关键时刻触达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3、用户分层体系及搭建规则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4、从引流开始打好标签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5、用户分层建立与进阶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五、私域核心场景运营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1、汽车行业私域营销场景组合策略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2、汽车行业私域6大场景运营详解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3、汽车行业私域社群运营策略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4、1V1运营的策略（1V1运营sop）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六、私域内容‘小中台’体系搭建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1、私域流量密码：优质内容的产出方法（AIGC）</w:t>
      </w:r>
    </w:p>
    <w:p>
      <w:pPr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2、营销事件活动：案例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3、造节：私域宠粉节</w:t>
      </w:r>
    </w:p>
    <w:p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4、素材库搭建与营销内容架构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、私域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>流量转化</w:t>
      </w:r>
    </w:p>
    <w:p>
      <w:pPr>
        <w:rPr>
          <w:rFonts w:hint="eastAsia"/>
        </w:rPr>
      </w:pPr>
      <w:r>
        <w:rPr>
          <w:rFonts w:hint="eastAsia"/>
        </w:rPr>
        <w:t>1、从泛粉到精粉，必须学会的3个动作</w:t>
      </w:r>
    </w:p>
    <w:p>
      <w:pPr>
        <w:rPr>
          <w:rFonts w:hint="eastAsia"/>
        </w:rPr>
      </w:pPr>
      <w:r>
        <w:rPr>
          <w:rFonts w:hint="eastAsia"/>
        </w:rPr>
        <w:t>2、提升转化—多维度布局解决信任</w:t>
      </w:r>
    </w:p>
    <w:p>
      <w:r>
        <w:rPr>
          <w:rFonts w:hint="eastAsia"/>
          <w:lang w:val="en-US" w:eastAsia="zh-CN"/>
        </w:rPr>
        <w:t>3</w:t>
      </w:r>
      <w:r>
        <w:rPr>
          <w:rFonts w:hint="eastAsia"/>
        </w:rPr>
        <w:t>、唤醒休眠</w:t>
      </w:r>
      <w:r>
        <w:rPr>
          <w:rFonts w:hint="eastAsia"/>
          <w:lang w:val="en-US" w:eastAsia="zh-CN"/>
        </w:rPr>
        <w:t>车主</w:t>
      </w:r>
      <w:r>
        <w:rPr>
          <w:rFonts w:hint="eastAsia"/>
        </w:rPr>
        <w:t>的三种策略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、存量</w:t>
      </w:r>
      <w:r>
        <w:rPr>
          <w:rFonts w:hint="eastAsia"/>
          <w:lang w:val="en-US" w:eastAsia="zh-CN"/>
        </w:rPr>
        <w:t>车主</w:t>
      </w:r>
      <w:r>
        <w:rPr>
          <w:rFonts w:hint="eastAsia"/>
        </w:rPr>
        <w:t>激活</w:t>
      </w:r>
      <w:r>
        <w:rPr>
          <w:rFonts w:hint="eastAsia"/>
          <w:lang w:val="en-US" w:eastAsia="zh-CN"/>
        </w:rPr>
        <w:t>策略</w:t>
      </w:r>
      <w:r>
        <w:rPr>
          <w:rFonts w:hint="eastAsia"/>
        </w:rPr>
        <w:t>与</w:t>
      </w:r>
      <w:r>
        <w:rPr>
          <w:rFonts w:hint="eastAsia"/>
          <w:lang w:val="en-US" w:eastAsia="zh-CN"/>
        </w:rPr>
        <w:t>引导转介绍技巧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938" w:right="1085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尚巍手书W">
    <w:panose1 w:val="00020600040101010101"/>
    <w:charset w:val="86"/>
    <w:family w:val="auto"/>
    <w:pitch w:val="default"/>
    <w:sig w:usb0="8000001F" w:usb1="1A0F781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610" w:firstLineChars="1450"/>
    </w:pPr>
    <w:r>
      <w:rPr>
        <w:rFonts w:hint="eastAsia"/>
        <w:kern w:val="0"/>
        <w:szCs w:val="21"/>
      </w:rPr>
      <w:t xml:space="preserve">          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28327123"/>
    <w:rsid w:val="2832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正文1"/>
    <w:autoRedefine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Helvetica Neue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2024-02-28T08:24:00Z</dcterms:created>
  <dc:creator>王军古</dc:creator>
  <cp:lastModifiedBy>王军古</cp:lastModifiedBy>
  <dcterms:modified xsi:type="dcterms:W3CDTF">2024-02-28T09:47:24Z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4124CE219BD44BD38D68531F2FE23201_11</vt:lpwstr>
  </property>
</Properties>
</file>