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140" w:afterAutospacing="0" w:line="14" w:lineRule="atLeast"/>
        <w:ind w:right="1926"/>
        <w:jc w:val="center"/>
        <w:rPr>
          <w:rFonts w:hint="default" w:ascii="黑体" w:hAnsi="黑体" w:eastAsia="黑体" w:cs="思源黑体 CN Bold"/>
          <w:bCs w:val="0"/>
          <w:color w:val="000000"/>
          <w:kern w:val="0"/>
          <w:sz w:val="32"/>
          <w:szCs w:val="32"/>
        </w:rPr>
      </w:pPr>
      <w:bookmarkStart w:id="2" w:name="_GoBack"/>
      <w:bookmarkEnd w:id="2"/>
      <w:r>
        <w:rPr>
          <w:rFonts w:ascii="黑体" w:hAnsi="黑体" w:eastAsia="黑体" w:cs="思源黑体 CN Bold"/>
          <w:bCs w:val="0"/>
          <w:color w:val="000000"/>
          <w:kern w:val="0"/>
          <w:sz w:val="32"/>
          <w:szCs w:val="32"/>
        </w:rPr>
        <w:t xml:space="preserve"> 《电力公司桌游及室内拓展训练》课程</w:t>
      </w:r>
    </w:p>
    <w:p>
      <w:pPr>
        <w:pStyle w:val="2"/>
        <w:widowControl/>
        <w:shd w:val="clear" w:color="auto" w:fill="FFFFFF"/>
        <w:spacing w:before="0" w:beforeAutospacing="0" w:after="140" w:afterAutospacing="0" w:line="14" w:lineRule="atLeast"/>
        <w:jc w:val="center"/>
        <w:rPr>
          <w:rFonts w:cs="思源黑体 CN Bold"/>
          <w:bCs w:val="0"/>
          <w:color w:val="1F4E79"/>
          <w:kern w:val="0"/>
          <w:sz w:val="32"/>
          <w:szCs w:val="32"/>
        </w:rPr>
      </w:pPr>
      <w:r>
        <w:rPr>
          <w:rFonts w:cs="思源黑体 CN Bold"/>
          <w:bCs/>
          <w:color w:val="1F4E79"/>
          <w:kern w:val="0"/>
          <w:sz w:val="32"/>
          <w:szCs w:val="32"/>
        </w:rPr>
        <w:drawing>
          <wp:inline distT="0" distB="0" distL="114300" distR="114300">
            <wp:extent cx="3520440" cy="3520440"/>
            <wp:effectExtent l="0" t="0" r="0" b="0"/>
            <wp:docPr id="1" name="Picture 6" descr="https://img.alicdn.com/imgextra/i3/3880722187/O1CN01knhYRS1S1gsF9GBls_!!3880722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" descr="https://img.alicdn.com/imgextra/i3/3880722187/O1CN01knhYRS1S1gsF9GBls_!!3880722187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352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hd w:val="clear" w:color="auto" w:fill="FFFFFF"/>
        <w:spacing w:before="0" w:beforeAutospacing="0" w:after="140" w:afterAutospacing="0" w:line="14" w:lineRule="atLeast"/>
        <w:jc w:val="center"/>
        <w:rPr>
          <w:rFonts w:hint="default" w:cs="思源黑体 CN Bold"/>
          <w:bCs w:val="0"/>
          <w:color w:val="1F4E79"/>
          <w:kern w:val="0"/>
          <w:sz w:val="32"/>
          <w:szCs w:val="32"/>
        </w:rPr>
      </w:pPr>
      <w:r>
        <w:rPr>
          <w:rFonts w:cs="思源黑体 CN Bold"/>
          <w:bCs w:val="0"/>
          <w:color w:val="1F4E79"/>
          <w:kern w:val="0"/>
          <w:sz w:val="32"/>
          <w:szCs w:val="32"/>
        </w:rPr>
        <w:t>版权课程</w:t>
      </w:r>
    </w:p>
    <w:p>
      <w:pPr>
        <w:rPr>
          <w:rFonts w:hint="eastAsia"/>
        </w:rPr>
      </w:pPr>
    </w:p>
    <w:p>
      <w:pPr>
        <w:rPr>
          <w:rFonts w:hint="eastAsia" w:ascii="宋体" w:hAnsi="宋体" w:cs="思源黑体 CN Bold"/>
          <w:b/>
          <w:color w:val="C45911"/>
          <w:sz w:val="24"/>
        </w:rPr>
      </w:pPr>
      <w:bookmarkStart w:id="0" w:name="_Hlk507413093"/>
      <w:r>
        <w:rPr>
          <w:rFonts w:hint="eastAsia" w:ascii="宋体" w:hAnsi="宋体" w:cs="思源黑体 CN Bold"/>
          <w:b/>
          <w:color w:val="C45911"/>
          <w:sz w:val="24"/>
        </w:rPr>
        <w:t>课程背景：</w:t>
      </w:r>
    </w:p>
    <w:p>
      <w:pPr>
        <w:spacing w:line="480" w:lineRule="exact"/>
        <w:rPr>
          <w:rFonts w:hint="eastAsia" w:ascii="宋体" w:hAnsi="宋体" w:cs="思源黑体 CN Bold"/>
          <w:color w:val="000000"/>
          <w:sz w:val="24"/>
        </w:rPr>
      </w:pPr>
      <w:r>
        <w:rPr>
          <w:rFonts w:hint="eastAsia" w:ascii="宋体" w:hAnsi="宋体" w:cs="思源黑体 CN Bold"/>
          <w:color w:val="000000"/>
          <w:sz w:val="24"/>
        </w:rPr>
        <w:t>《电力公司》课中沙盘模拟，学员扮演电力公司经理的角色，面临着稀缺的资金和对手的竞争。为了发展自己的电力帝国，需要合理安排资金、控制成本、分配建厂和购买资源。课程的主题就是建设电网，沙盘中玩家支配着一间电力公司，利用有限的资金，努力拓展自己的事业。沙盘进行时，玩家们不仅要竞标电厂汰旧换新，还得囤积原料避免断电，更要巩固自家区域构筑输电网路。当有玩家连接的城市达到规定条件时，沙盘即告结束。玩家们统计自家供电城市的数量，供给电力最多城市的玩家即为游戏嬴家。</w:t>
      </w:r>
    </w:p>
    <w:p>
      <w:pPr>
        <w:spacing w:line="480" w:lineRule="exact"/>
        <w:rPr>
          <w:rFonts w:hint="eastAsia" w:ascii="宋体" w:hAnsi="宋体" w:cs="思源黑体 CN Bold"/>
          <w:color w:val="000000"/>
          <w:sz w:val="24"/>
        </w:rPr>
      </w:pPr>
      <w:r>
        <w:rPr>
          <w:rFonts w:hint="eastAsia" w:ascii="宋体" w:hAnsi="宋体" w:cs="思源黑体 CN Bold"/>
          <w:color w:val="000000"/>
          <w:sz w:val="24"/>
        </w:rPr>
        <w:t>沙盘综合考察了玩家的资金分配使用能力、决策能力、目标规划能力和对其他玩家路线的把控能力，由于版图很大路线较多，所以即使是专业的桌面沙盘玩家，也需要相当大的思考量。但尽管如此，这款沙盘作为德式游戏的典范和招牌作品，一直以来都被许多玩家所喜爱着，绝对是同类沙盘中不能够错过的超级大作。</w:t>
      </w:r>
    </w:p>
    <w:p>
      <w:pPr>
        <w:spacing w:line="480" w:lineRule="exact"/>
        <w:rPr>
          <w:rFonts w:ascii="宋体" w:hAnsi="宋体" w:cs="思源黑体 CN Bold"/>
          <w:color w:val="000000"/>
          <w:sz w:val="24"/>
        </w:rPr>
      </w:pPr>
    </w:p>
    <w:p>
      <w:pPr>
        <w:spacing w:line="480" w:lineRule="exact"/>
        <w:rPr>
          <w:rFonts w:ascii="宋体" w:hAnsi="宋体" w:cs="思源黑体 CN Bold"/>
          <w:color w:val="000000"/>
          <w:sz w:val="24"/>
        </w:rPr>
      </w:pPr>
    </w:p>
    <w:p>
      <w:pPr>
        <w:spacing w:line="480" w:lineRule="exact"/>
        <w:rPr>
          <w:rFonts w:hint="eastAsia" w:ascii="宋体" w:hAnsi="宋体" w:cs="思源黑体 CN Bold"/>
          <w:color w:val="000000"/>
          <w:sz w:val="24"/>
        </w:rPr>
      </w:pPr>
    </w:p>
    <w:p>
      <w:pPr>
        <w:spacing w:line="480" w:lineRule="exact"/>
        <w:rPr>
          <w:rFonts w:hint="eastAsia" w:ascii="宋体" w:hAnsi="宋体" w:cs="思源黑体 CN Bold"/>
          <w:b/>
          <w:color w:val="000000"/>
          <w:sz w:val="24"/>
        </w:rPr>
      </w:pPr>
      <w:r>
        <w:rPr>
          <w:rFonts w:hint="eastAsia" w:ascii="宋体" w:hAnsi="宋体" w:cs="思源黑体 CN Bold"/>
          <w:b/>
          <w:color w:val="000000"/>
          <w:sz w:val="24"/>
        </w:rPr>
        <w:t>用电赚钱？用电力赚大钱？</w:t>
      </w:r>
    </w:p>
    <w:p>
      <w:pPr>
        <w:spacing w:line="480" w:lineRule="exact"/>
        <w:rPr>
          <w:rFonts w:ascii="宋体" w:hAnsi="宋体" w:cs="思源黑体 CN Bold"/>
          <w:color w:val="000000"/>
          <w:sz w:val="24"/>
        </w:rPr>
      </w:pPr>
      <w:r>
        <w:rPr>
          <w:rFonts w:hint="eastAsia" w:ascii="宋体" w:hAnsi="宋体" w:cs="思源黑体 CN Bold"/>
          <w:color w:val="000000"/>
          <w:sz w:val="24"/>
        </w:rPr>
        <w:t>是一个非常好的理想！应该用传统的煤炭或石油来发电，但是将来这些资源会短缺吗？焚烧垃圾有前途吗？只要政府能处理好大量的核废料和利润，那肯定是令人兴奋的。当然，可以使用更环保的能源，并且不依赖资源。但是，这样的发电厂将来是否足够强大用以满足客户的需求？同时必须观察你的竞争对手，看看他们在建些什么工厂，在他们的供电网络上有哪些城市，他们依赖什么资源，以及他们觉得有趣的新电厂。</w:t>
      </w:r>
    </w:p>
    <w:bookmarkEnd w:id="0"/>
    <w:p>
      <w:pPr>
        <w:spacing w:line="480" w:lineRule="exact"/>
        <w:rPr>
          <w:rFonts w:hint="eastAsia" w:ascii="宋体" w:hAnsi="宋体"/>
          <w:b/>
          <w:color w:val="1F4E79"/>
          <w:sz w:val="24"/>
          <w:shd w:val="clear" w:color="auto" w:fill="FFFFFF"/>
        </w:rPr>
      </w:pPr>
      <w:bookmarkStart w:id="1" w:name="_Hlk80790662"/>
    </w:p>
    <w:p>
      <w:pPr>
        <w:spacing w:line="480" w:lineRule="exact"/>
        <w:rPr>
          <w:rFonts w:hint="eastAsia" w:ascii="宋体" w:hAnsi="宋体"/>
          <w:b/>
          <w:color w:val="1F4E79"/>
          <w:sz w:val="24"/>
          <w:shd w:val="clear" w:color="auto" w:fill="FFFFFF"/>
        </w:rPr>
      </w:pPr>
      <w:r>
        <w:rPr>
          <w:rFonts w:hint="eastAsia" w:ascii="宋体" w:hAnsi="宋体"/>
          <w:b/>
          <w:color w:val="1F4E79"/>
          <w:sz w:val="24"/>
          <w:shd w:val="clear" w:color="auto" w:fill="FFFFFF"/>
        </w:rPr>
        <w:t>课程大纲</w:t>
      </w:r>
    </w:p>
    <w:p>
      <w:pPr>
        <w:spacing w:line="480" w:lineRule="exact"/>
        <w:rPr>
          <w:rFonts w:hint="eastAsia" w:ascii="宋体" w:hAnsi="宋体"/>
          <w:b/>
          <w:color w:val="1F4E79"/>
          <w:sz w:val="24"/>
          <w:shd w:val="clear" w:color="auto" w:fill="FFFFFF"/>
        </w:rPr>
      </w:pPr>
    </w:p>
    <w:p>
      <w:pPr>
        <w:spacing w:line="480" w:lineRule="exact"/>
        <w:rPr>
          <w:rFonts w:ascii="宋体" w:hAnsi="宋体"/>
          <w:b/>
          <w:color w:val="1F4E79"/>
          <w:sz w:val="24"/>
          <w:shd w:val="clear" w:color="auto" w:fill="FFFFFF"/>
        </w:rPr>
      </w:pPr>
      <w:r>
        <w:rPr>
          <w:rFonts w:hint="eastAsia" w:ascii="宋体" w:hAnsi="宋体"/>
          <w:b/>
          <w:color w:val="1F4E79"/>
          <w:sz w:val="24"/>
          <w:shd w:val="clear" w:color="auto" w:fill="FFFFFF"/>
        </w:rPr>
        <w:t>第一讲：电力公司桌游</w:t>
      </w:r>
    </w:p>
    <w:bookmarkEnd w:id="1"/>
    <w:p>
      <w:pPr>
        <w:spacing w:line="480" w:lineRule="exact"/>
        <w:rPr>
          <w:rFonts w:ascii="宋体" w:hAnsi="宋体" w:cs="思源黑体 CN Bold"/>
          <w:b/>
          <w:color w:val="C45911"/>
          <w:sz w:val="24"/>
        </w:rPr>
      </w:pPr>
      <w:r>
        <w:rPr>
          <w:rFonts w:hint="eastAsia" w:ascii="宋体" w:hAnsi="宋体" w:cs="思源黑体 CN Bold"/>
          <w:b/>
          <w:color w:val="C45911"/>
          <w:sz w:val="24"/>
        </w:rPr>
        <w:t>桌游配件：工具包</w:t>
      </w:r>
    </w:p>
    <w:p>
      <w:pPr>
        <w:autoSpaceDE w:val="0"/>
        <w:autoSpaceDN w:val="0"/>
        <w:adjustRightInd w:val="0"/>
        <w:spacing w:line="400" w:lineRule="exact"/>
        <w:ind w:firstLine="480"/>
        <w:rPr>
          <w:kern w:val="0"/>
          <w:sz w:val="24"/>
          <w:lang w:val="zh-CN"/>
        </w:rPr>
      </w:pPr>
      <w:r>
        <w:rPr>
          <w:kern w:val="0"/>
          <w:sz w:val="24"/>
          <w:lang w:val="zh-CN"/>
        </w:rPr>
        <w:t>配件：游戏板图1块（双面）木屋132个（分6种颜色）原料84个（分棕黑黄红）</w:t>
      </w:r>
    </w:p>
    <w:p>
      <w:pPr>
        <w:autoSpaceDE w:val="0"/>
        <w:autoSpaceDN w:val="0"/>
        <w:adjustRightInd w:val="0"/>
        <w:spacing w:line="400" w:lineRule="exact"/>
        <w:ind w:firstLine="480"/>
        <w:rPr>
          <w:kern w:val="0"/>
          <w:sz w:val="24"/>
          <w:lang w:val="zh-CN"/>
        </w:rPr>
      </w:pPr>
      <w:r>
        <w:rPr>
          <w:kern w:val="0"/>
          <w:sz w:val="24"/>
          <w:lang w:val="zh-CN"/>
        </w:rPr>
        <w:t>钱币127张卡牌96张说明2份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color w:val="C45911"/>
          <w:sz w:val="24"/>
        </w:rPr>
        <w:t>分组人数：</w:t>
      </w:r>
      <w:r>
        <w:rPr>
          <w:rFonts w:hint="eastAsia" w:ascii="宋体" w:hAnsi="宋体" w:cs="宋体"/>
          <w:sz w:val="24"/>
        </w:rPr>
        <w:t>6人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color w:val="C45911"/>
          <w:sz w:val="24"/>
        </w:rPr>
        <w:t>桌游时间：</w:t>
      </w:r>
      <w:r>
        <w:rPr>
          <w:rFonts w:hint="eastAsia" w:ascii="宋体" w:hAnsi="宋体" w:cs="宋体"/>
          <w:sz w:val="24"/>
        </w:rPr>
        <w:t>3小时</w:t>
      </w:r>
    </w:p>
    <w:p>
      <w:pPr>
        <w:spacing w:line="480" w:lineRule="exact"/>
        <w:rPr>
          <w:rFonts w:hint="eastAsia" w:ascii="宋体" w:hAnsi="宋体" w:cs="宋体"/>
          <w:b/>
          <w:color w:val="C45911"/>
          <w:sz w:val="24"/>
        </w:rPr>
      </w:pPr>
      <w:r>
        <w:rPr>
          <w:rFonts w:hint="eastAsia" w:ascii="宋体" w:hAnsi="宋体" w:cs="宋体"/>
          <w:b/>
          <w:color w:val="C45911"/>
          <w:sz w:val="24"/>
        </w:rPr>
        <w:t>桌游目的：</w:t>
      </w:r>
    </w:p>
    <w:p>
      <w:pPr>
        <w:spacing w:line="480" w:lineRule="exact"/>
        <w:rPr>
          <w:rFonts w:ascii="宋体" w:hAnsi="宋体" w:cs="思源黑体 CN Bold"/>
          <w:color w:val="000000"/>
          <w:sz w:val="24"/>
        </w:rPr>
      </w:pPr>
      <w:r>
        <w:rPr>
          <w:rFonts w:hint="eastAsia" w:ascii="宋体" w:hAnsi="宋体" w:cs="思源黑体 CN Bold"/>
          <w:color w:val="000000"/>
          <w:sz w:val="24"/>
        </w:rPr>
        <w:t>为数字化互联网时代提供一个“游戏化”的解决方案。</w:t>
      </w:r>
    </w:p>
    <w:p>
      <w:pPr>
        <w:pStyle w:val="16"/>
        <w:spacing w:line="440" w:lineRule="exact"/>
        <w:ind w:firstLine="0" w:firstLineChars="0"/>
        <w:rPr>
          <w:rFonts w:hint="eastAsia" w:ascii="微软雅黑" w:hAnsi="微软雅黑" w:eastAsia="微软雅黑" w:cs="宋体"/>
          <w:bCs w:val="0"/>
          <w:sz w:val="24"/>
          <w:szCs w:val="24"/>
        </w:rPr>
      </w:pPr>
      <w:r>
        <w:rPr>
          <w:rFonts w:hint="eastAsia" w:ascii="宋体" w:hAnsi="宋体"/>
          <w:b/>
          <w:color w:val="1F4E79"/>
          <w:sz w:val="24"/>
          <w:shd w:val="clear" w:color="auto" w:fill="FFFFFF"/>
        </w:rPr>
        <w:t>电力公司桌游</w:t>
      </w:r>
      <w:r>
        <w:rPr>
          <w:rFonts w:hint="eastAsia" w:ascii="黑体" w:hAnsi="黑体" w:eastAsia="黑体" w:cs="宋体"/>
          <w:color w:val="002060"/>
          <w:sz w:val="28"/>
          <w:szCs w:val="28"/>
        </w:rPr>
        <w:t>：</w:t>
      </w:r>
    </w:p>
    <w:tbl>
      <w:tblPr>
        <w:tblStyle w:val="6"/>
        <w:tblW w:w="1063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9"/>
        <w:gridCol w:w="5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5219" w:type="dxa"/>
            <w:tcBorders>
              <w:top w:val="outset" w:color="BFBFBF" w:sz="6" w:space="0"/>
              <w:left w:val="outset" w:color="BFBFBF" w:sz="6" w:space="0"/>
              <w:bottom w:val="outset" w:color="BFBFBF" w:sz="6" w:space="0"/>
              <w:right w:val="outset" w:color="BFBFBF" w:sz="6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  <w:lang/>
              </w:rPr>
              <w:drawing>
                <wp:inline distT="0" distB="0" distL="114300" distR="114300">
                  <wp:extent cx="2889250" cy="4798695"/>
                  <wp:effectExtent l="0" t="0" r="6350" b="1905"/>
                  <wp:docPr id="2" name="Picture 2" descr="https://img.alicdn.com/imgextra/i3/3880722187/O1CN016eU03Z1S1grRDe0ID_!!3880722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https://img.alicdn.com/imgextra/i3/3880722187/O1CN016eU03Z1S1grRDe0ID_!!3880722187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250" cy="4798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840" w:firstLineChars="350"/>
              <w:rPr>
                <w:rFonts w:hint="eastAsia" w:ascii="黑体" w:hAnsi="黑体" w:eastAsia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</w:rPr>
              <w:t>资源一：资金</w:t>
            </w:r>
          </w:p>
        </w:tc>
        <w:tc>
          <w:tcPr>
            <w:tcW w:w="5416" w:type="dxa"/>
            <w:tcBorders>
              <w:top w:val="outset" w:color="BFBFBF" w:sz="6" w:space="0"/>
              <w:left w:val="outset" w:color="BFBFBF" w:sz="6" w:space="0"/>
              <w:bottom w:val="outset" w:color="BFBFBF" w:sz="6" w:space="0"/>
              <w:right w:val="outset" w:color="BFBFBF" w:sz="6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  <w:lang/>
              </w:rPr>
              <w:drawing>
                <wp:inline distT="0" distB="0" distL="114300" distR="114300">
                  <wp:extent cx="3304540" cy="4752975"/>
                  <wp:effectExtent l="0" t="0" r="2540" b="1905"/>
                  <wp:docPr id="3" name="Picture 4" descr="https://img.alicdn.com/imgextra/i4/3880722187/O1CN01QBuGVu1S1gsCaFxxW_!!3880722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4" descr="https://img.alicdn.com/imgextra/i4/3880722187/O1CN01QBuGVu1S1gsCaFxxW_!!3880722187.jp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b="126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4540" cy="475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720" w:firstLineChars="300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</w:rPr>
              <w:t>资源二：电厂卡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96" w:hRule="atLeast"/>
        </w:trPr>
        <w:tc>
          <w:tcPr>
            <w:tcW w:w="5219" w:type="dxa"/>
            <w:tcBorders>
              <w:top w:val="outset" w:color="BFBFBF" w:sz="6" w:space="0"/>
              <w:left w:val="outset" w:color="BFBFBF" w:sz="6" w:space="0"/>
              <w:bottom w:val="outset" w:color="BFBFBF" w:sz="6" w:space="0"/>
              <w:right w:val="outset" w:color="BFBFBF" w:sz="6" w:space="0"/>
            </w:tcBorders>
            <w:noWrap w:val="0"/>
            <w:vAlign w:val="bottom"/>
          </w:tcPr>
          <w:p>
            <w:pPr>
              <w:rPr>
                <w:rFonts w:ascii="黑体" w:hAnsi="黑体" w:eastAsia="黑体"/>
                <w:b/>
                <w:color w:val="FF0000"/>
                <w:sz w:val="24"/>
                <w:lang/>
              </w:rPr>
            </w:pPr>
            <w:r>
              <w:rPr>
                <w:rFonts w:ascii="黑体" w:hAnsi="黑体" w:eastAsia="黑体"/>
                <w:b/>
                <w:color w:val="FF0000"/>
                <w:sz w:val="24"/>
                <w:lang/>
              </w:rPr>
              <w:drawing>
                <wp:inline distT="0" distB="0" distL="114300" distR="114300">
                  <wp:extent cx="3171825" cy="2110740"/>
                  <wp:effectExtent l="0" t="0" r="13335" b="7620"/>
                  <wp:docPr id="4" name="Picture 2" descr="https://img.alicdn.com/imgextra/i3/363561159/O1CN01Zi4xFT1KQric5PApM_!!3635611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 descr="https://img.alicdn.com/imgextra/i3/363561159/O1CN01Zi4xFT1KQric5PApM_!!363561159.jpg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75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2110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ascii="黑体" w:hAnsi="黑体" w:eastAsia="黑体"/>
                <w:b/>
                <w:color w:val="FF0000"/>
                <w:sz w:val="24"/>
              </w:rPr>
            </w:pPr>
            <w:r>
              <w:rPr>
                <w:rFonts w:ascii="黑体" w:hAnsi="黑体" w:eastAsia="黑体"/>
                <w:b/>
                <w:color w:val="FF0000"/>
                <w:sz w:val="24"/>
                <w:lang/>
              </w:rPr>
              <w:drawing>
                <wp:inline distT="0" distB="0" distL="114300" distR="114300">
                  <wp:extent cx="3175635" cy="2484755"/>
                  <wp:effectExtent l="0" t="0" r="9525" b="14605"/>
                  <wp:docPr id="5" name="Picture 4" descr="https://img.alicdn.com/imgextra/i1/3880722187/O1CN01e4EAbz1S1grfBbdAN_!!3880722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img.alicdn.com/imgextra/i1/3880722187/O1CN01e4EAbz1S1grfBbdAN_!!3880722187.jp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14908" b="379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635" cy="2484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840" w:firstLineChars="350"/>
              <w:rPr>
                <w:rFonts w:hint="eastAsia" w:ascii="黑体" w:hAnsi="黑体" w:eastAsia="黑体"/>
                <w:b/>
                <w:color w:val="0000FF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</w:rPr>
              <w:t>资源三：供电原料</w:t>
            </w:r>
          </w:p>
        </w:tc>
        <w:tc>
          <w:tcPr>
            <w:tcW w:w="5416" w:type="dxa"/>
            <w:tcBorders>
              <w:top w:val="outset" w:color="BFBFBF" w:sz="6" w:space="0"/>
              <w:left w:val="outset" w:color="BFBFBF" w:sz="6" w:space="0"/>
              <w:bottom w:val="outset" w:color="BFBFBF" w:sz="6" w:space="0"/>
              <w:right w:val="outset" w:color="BFBFBF" w:sz="6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  <w:lang/>
              </w:rPr>
              <w:drawing>
                <wp:inline distT="0" distB="0" distL="114300" distR="114300">
                  <wp:extent cx="2571115" cy="5240655"/>
                  <wp:effectExtent l="0" t="0" r="4445" b="1905"/>
                  <wp:docPr id="6" name="Picture 2" descr="https://img.alicdn.com/imgextra/i2/3880722187/O1CN013kl6aZ1S1gsKmKX22_!!3880722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2" descr="https://img.alicdn.com/imgextra/i2/3880722187/O1CN013kl6aZ1S1gsKmKX22_!!3880722187.jpg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t="205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115" cy="524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</w:rPr>
              <w:t>资源四：中国版图、美国版图</w:t>
            </w:r>
          </w:p>
        </w:tc>
      </w:tr>
    </w:tbl>
    <w:p>
      <w:pPr>
        <w:spacing w:line="480" w:lineRule="exact"/>
        <w:rPr>
          <w:rFonts w:ascii="宋体" w:hAnsi="宋体" w:cs="思源黑体 CN Bold"/>
          <w:color w:val="000000"/>
          <w:sz w:val="24"/>
        </w:rPr>
      </w:pPr>
    </w:p>
    <w:p>
      <w:pPr>
        <w:spacing w:line="480" w:lineRule="exact"/>
        <w:rPr>
          <w:rFonts w:ascii="宋体" w:hAnsi="宋体"/>
          <w:b/>
          <w:color w:val="1F4E79"/>
          <w:sz w:val="24"/>
          <w:shd w:val="clear" w:color="auto" w:fill="FFFFFF"/>
        </w:rPr>
      </w:pPr>
      <w:r>
        <w:rPr>
          <w:rFonts w:hint="eastAsia" w:ascii="宋体" w:hAnsi="宋体"/>
          <w:b/>
          <w:color w:val="1F4E79"/>
          <w:sz w:val="24"/>
          <w:shd w:val="clear" w:color="auto" w:fill="FFFFFF"/>
        </w:rPr>
        <w:t>第二讲：室内拓展训练</w:t>
      </w:r>
    </w:p>
    <w:p>
      <w:pPr>
        <w:spacing w:line="48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color w:val="C45911"/>
          <w:sz w:val="24"/>
        </w:rPr>
        <w:t>时间：</w:t>
      </w:r>
      <w:r>
        <w:rPr>
          <w:rFonts w:hint="eastAsia" w:ascii="宋体" w:hAnsi="宋体" w:cs="宋体"/>
          <w:sz w:val="24"/>
        </w:rPr>
        <w:t>3小时</w:t>
      </w:r>
    </w:p>
    <w:p>
      <w:pPr>
        <w:spacing w:line="480" w:lineRule="exact"/>
        <w:rPr>
          <w:rFonts w:hint="eastAsia" w:ascii="宋体" w:hAnsi="宋体" w:cs="宋体"/>
          <w:b/>
          <w:color w:val="C45911"/>
          <w:sz w:val="24"/>
        </w:rPr>
      </w:pPr>
      <w:r>
        <w:rPr>
          <w:rFonts w:hint="eastAsia" w:ascii="宋体" w:hAnsi="宋体" w:cs="宋体"/>
          <w:b/>
          <w:color w:val="C45911"/>
          <w:sz w:val="24"/>
        </w:rPr>
        <w:t>拓展目的：</w:t>
      </w:r>
    </w:p>
    <w:p>
      <w:pPr>
        <w:spacing w:line="480" w:lineRule="exact"/>
        <w:rPr>
          <w:rFonts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 w:cs="思源黑体 CN Bold"/>
          <w:color w:val="000000"/>
          <w:sz w:val="24"/>
        </w:rPr>
        <w:t>室内拓展是通过拓展训练体会团队之间的的作用,增进对集体的积极参与和责任意识、增加队员之间的,默契度,增加协调性。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 xml:space="preserve">数字传递  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>七手八脚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>合力吹气球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>星际之圈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>青蛙大战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>笑容可掬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>囊中失物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 xml:space="preserve">神枪手人数 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>颠三倒四-破冰游戏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 w:val="24"/>
          <w:shd w:val="clear" w:color="auto" w:fill="FFFFFF"/>
        </w:rPr>
      </w:pPr>
      <w:r>
        <w:rPr>
          <w:rFonts w:hint="eastAsia" w:ascii="宋体" w:hAnsi="宋体"/>
          <w:b/>
          <w:color w:val="000000"/>
          <w:sz w:val="24"/>
          <w:shd w:val="clear" w:color="auto" w:fill="FFFFFF"/>
        </w:rPr>
        <w:t>集体造句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宋体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764976"/>
    <w:multiLevelType w:val="multilevel"/>
    <w:tmpl w:val="2576497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MjExOWE3M2I4ZTY4MGZmYjZlMzU2ZmM1ZjFhYzEifQ=="/>
  </w:docVars>
  <w:rsids>
    <w:rsidRoot w:val="00AD2897"/>
    <w:rsid w:val="00015D5A"/>
    <w:rsid w:val="00024324"/>
    <w:rsid w:val="00025399"/>
    <w:rsid w:val="00055C4A"/>
    <w:rsid w:val="00063964"/>
    <w:rsid w:val="000A289E"/>
    <w:rsid w:val="000B34F0"/>
    <w:rsid w:val="000B4387"/>
    <w:rsid w:val="000C16AD"/>
    <w:rsid w:val="000C39DE"/>
    <w:rsid w:val="000D5C1B"/>
    <w:rsid w:val="00100F2D"/>
    <w:rsid w:val="00102B93"/>
    <w:rsid w:val="00121CCE"/>
    <w:rsid w:val="001316EC"/>
    <w:rsid w:val="001411E5"/>
    <w:rsid w:val="00157F67"/>
    <w:rsid w:val="001B783E"/>
    <w:rsid w:val="001D4003"/>
    <w:rsid w:val="001F3DD7"/>
    <w:rsid w:val="002015E6"/>
    <w:rsid w:val="002538FF"/>
    <w:rsid w:val="0029125F"/>
    <w:rsid w:val="002A3650"/>
    <w:rsid w:val="002B7CDA"/>
    <w:rsid w:val="002C1CD4"/>
    <w:rsid w:val="002E5E1C"/>
    <w:rsid w:val="002F2211"/>
    <w:rsid w:val="0033736F"/>
    <w:rsid w:val="00337FC6"/>
    <w:rsid w:val="00347140"/>
    <w:rsid w:val="00366A49"/>
    <w:rsid w:val="003D3B47"/>
    <w:rsid w:val="00444397"/>
    <w:rsid w:val="0044491E"/>
    <w:rsid w:val="0047610C"/>
    <w:rsid w:val="00484223"/>
    <w:rsid w:val="00495227"/>
    <w:rsid w:val="00497A39"/>
    <w:rsid w:val="004B6C20"/>
    <w:rsid w:val="004D42D8"/>
    <w:rsid w:val="005155FD"/>
    <w:rsid w:val="00524C18"/>
    <w:rsid w:val="00547F29"/>
    <w:rsid w:val="00550599"/>
    <w:rsid w:val="005509B3"/>
    <w:rsid w:val="00552012"/>
    <w:rsid w:val="005663EB"/>
    <w:rsid w:val="00581B38"/>
    <w:rsid w:val="005E5602"/>
    <w:rsid w:val="005E6DCC"/>
    <w:rsid w:val="00624DE5"/>
    <w:rsid w:val="00647A0B"/>
    <w:rsid w:val="00665F93"/>
    <w:rsid w:val="00666314"/>
    <w:rsid w:val="006920BD"/>
    <w:rsid w:val="006D0B92"/>
    <w:rsid w:val="006E2D94"/>
    <w:rsid w:val="00702383"/>
    <w:rsid w:val="007227AB"/>
    <w:rsid w:val="007249D8"/>
    <w:rsid w:val="00773181"/>
    <w:rsid w:val="00777066"/>
    <w:rsid w:val="007A03A5"/>
    <w:rsid w:val="007B26B7"/>
    <w:rsid w:val="00834597"/>
    <w:rsid w:val="00872DEE"/>
    <w:rsid w:val="008819C5"/>
    <w:rsid w:val="008871C5"/>
    <w:rsid w:val="008A348D"/>
    <w:rsid w:val="008B0BB9"/>
    <w:rsid w:val="008B6093"/>
    <w:rsid w:val="008E0D41"/>
    <w:rsid w:val="00902AF5"/>
    <w:rsid w:val="0090304E"/>
    <w:rsid w:val="00916DF5"/>
    <w:rsid w:val="00941C14"/>
    <w:rsid w:val="00996832"/>
    <w:rsid w:val="009B692E"/>
    <w:rsid w:val="009C256E"/>
    <w:rsid w:val="009D394C"/>
    <w:rsid w:val="009E053A"/>
    <w:rsid w:val="00A034C7"/>
    <w:rsid w:val="00A236CE"/>
    <w:rsid w:val="00A733BA"/>
    <w:rsid w:val="00AB7B23"/>
    <w:rsid w:val="00AC149F"/>
    <w:rsid w:val="00AD2897"/>
    <w:rsid w:val="00AF4337"/>
    <w:rsid w:val="00B00D15"/>
    <w:rsid w:val="00B024FF"/>
    <w:rsid w:val="00B205A2"/>
    <w:rsid w:val="00B33377"/>
    <w:rsid w:val="00B54152"/>
    <w:rsid w:val="00B6466F"/>
    <w:rsid w:val="00BB726E"/>
    <w:rsid w:val="00BC1ED2"/>
    <w:rsid w:val="00BF6B44"/>
    <w:rsid w:val="00C03DDF"/>
    <w:rsid w:val="00C06C10"/>
    <w:rsid w:val="00C16719"/>
    <w:rsid w:val="00C325D4"/>
    <w:rsid w:val="00C5578E"/>
    <w:rsid w:val="00C70030"/>
    <w:rsid w:val="00CB5823"/>
    <w:rsid w:val="00CB6E77"/>
    <w:rsid w:val="00CD2978"/>
    <w:rsid w:val="00CD383B"/>
    <w:rsid w:val="00CD44B3"/>
    <w:rsid w:val="00D2340D"/>
    <w:rsid w:val="00D77864"/>
    <w:rsid w:val="00DB3142"/>
    <w:rsid w:val="00E2136A"/>
    <w:rsid w:val="00E505E9"/>
    <w:rsid w:val="00E516E7"/>
    <w:rsid w:val="00E627B9"/>
    <w:rsid w:val="00E72CC4"/>
    <w:rsid w:val="00E92265"/>
    <w:rsid w:val="00E9603D"/>
    <w:rsid w:val="00EC4550"/>
    <w:rsid w:val="00ED737C"/>
    <w:rsid w:val="00EE33A3"/>
    <w:rsid w:val="00EE5740"/>
    <w:rsid w:val="00EF2B22"/>
    <w:rsid w:val="00EF5861"/>
    <w:rsid w:val="00F03AD1"/>
    <w:rsid w:val="00FA1C2C"/>
    <w:rsid w:val="00FB65A7"/>
    <w:rsid w:val="00FD40D8"/>
    <w:rsid w:val="00FE7E5D"/>
    <w:rsid w:val="031178B8"/>
    <w:rsid w:val="05F5246D"/>
    <w:rsid w:val="07FF1153"/>
    <w:rsid w:val="08EE1082"/>
    <w:rsid w:val="0B444ACE"/>
    <w:rsid w:val="1F2D66CB"/>
    <w:rsid w:val="207B07BD"/>
    <w:rsid w:val="23143789"/>
    <w:rsid w:val="272A6E57"/>
    <w:rsid w:val="28855A83"/>
    <w:rsid w:val="29B709D3"/>
    <w:rsid w:val="364558CF"/>
    <w:rsid w:val="409B201A"/>
    <w:rsid w:val="43586A34"/>
    <w:rsid w:val="471D3132"/>
    <w:rsid w:val="48024C6A"/>
    <w:rsid w:val="492E20ED"/>
    <w:rsid w:val="526C6861"/>
    <w:rsid w:val="561337B5"/>
    <w:rsid w:val="58EC1EFA"/>
    <w:rsid w:val="5E1D3DB2"/>
    <w:rsid w:val="61901185"/>
    <w:rsid w:val="678F5239"/>
    <w:rsid w:val="67953559"/>
    <w:rsid w:val="69F355B2"/>
    <w:rsid w:val="6BE600A7"/>
    <w:rsid w:val="6C075B08"/>
    <w:rsid w:val="708700CF"/>
    <w:rsid w:val="759639D7"/>
    <w:rsid w:val="76BD3F42"/>
    <w:rsid w:val="7766428B"/>
    <w:rsid w:val="7AAF56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uiPriority w:val="0"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  <w:bCs/>
    </w:rPr>
  </w:style>
  <w:style w:type="character" w:customStyle="1" w:styleId="10">
    <w:name w:val="页脚 字符"/>
    <w:link w:val="3"/>
    <w:uiPriority w:val="0"/>
    <w:rPr>
      <w:kern w:val="2"/>
      <w:sz w:val="18"/>
      <w:szCs w:val="18"/>
    </w:rPr>
  </w:style>
  <w:style w:type="character" w:customStyle="1" w:styleId="11">
    <w:name w:val="页眉 字符"/>
    <w:link w:val="4"/>
    <w:uiPriority w:val="0"/>
    <w:rPr>
      <w:kern w:val="2"/>
      <w:sz w:val="18"/>
      <w:szCs w:val="18"/>
    </w:rPr>
  </w:style>
  <w:style w:type="paragraph" w:customStyle="1" w:styleId="12">
    <w:name w:val="0"/>
    <w:basedOn w:val="1"/>
    <w:uiPriority w:val="0"/>
    <w:pPr>
      <w:widowControl/>
      <w:spacing w:before="100" w:beforeAutospacing="1" w:after="100" w:afterAutospacing="1" w:line="420" w:lineRule="atLeast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Body Text Indent Char Char"/>
    <w:link w:val="16"/>
    <w:uiPriority w:val="0"/>
    <w:rPr>
      <w:rFonts w:ascii="方正楷体简体" w:eastAsia="方正楷体简体"/>
      <w:bCs/>
      <w:szCs w:val="16"/>
    </w:rPr>
  </w:style>
  <w:style w:type="paragraph" w:customStyle="1" w:styleId="16">
    <w:name w:val="正文文本缩进1"/>
    <w:basedOn w:val="1"/>
    <w:link w:val="15"/>
    <w:uiPriority w:val="0"/>
    <w:pPr>
      <w:widowControl/>
      <w:ind w:firstLine="420" w:firstLineChars="200"/>
      <w:jc w:val="left"/>
    </w:pPr>
    <w:rPr>
      <w:rFonts w:ascii="方正楷体简体" w:eastAsia="方正楷体简体"/>
      <w:bCs/>
      <w:kern w:val="0"/>
      <w:sz w:val="20"/>
      <w:szCs w:val="16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color w:val="161616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危机管理研究中心</Company>
  <Pages>5</Pages>
  <Words>139</Words>
  <Characters>796</Characters>
  <Lines>6</Lines>
  <Paragraphs>1</Paragraphs>
  <TotalTime>0</TotalTime>
  <ScaleCrop>false</ScaleCrop>
  <LinksUpToDate>false</LinksUpToDate>
  <CharactersWithSpaces>934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2023-07-06T01:23:00Z</dcterms:created>
  <dc:creator>危机管理培训师周子淳</dc:creator>
  <cp:lastModifiedBy>蓉儿</cp:lastModifiedBy>
  <dcterms:modified xsi:type="dcterms:W3CDTF">2023-10-11T06:51:13Z</dcterms:modified>
  <dc:title>职场减压四部曲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0336FA3D57934A5D8CB83EEDECA7BADB_13</vt:lpwstr>
  </property>
</Properties>
</file>