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4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32"/>
        </w:rPr>
        <w:t>课程时间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2天1夜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课程对象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美容院全体人员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课程内容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标准化全程服务流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打造21条细节服务标准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建立个性化感动服务系统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现场5星感动服务落地执行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5、感动服务细节化目标设置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课程效果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标准简单人性化服务流程，可执行可复制可普及;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建立细节服务流程提升新顾客成交率高达50%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增加老顾客到店率，快速提升消耗现金业绩增加1-3倍: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维护客情关系激活沉睡顾客，提升有效会员率高达70%: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sz w:val="24"/>
          <w:szCs w:val="32"/>
        </w:rPr>
        <w:t>建立个性感动服务系统，感动A类顾客，快速成交100万大单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9C8433"/>
    <w:multiLevelType w:val="singleLevel"/>
    <w:tmpl w:val="FC9C843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DE5AA9F"/>
    <w:multiLevelType w:val="singleLevel"/>
    <w:tmpl w:val="FDE5AA9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71E45A5D"/>
    <w:rsid w:val="71E4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2023-12-26T09:02:00Z</dcterms:created>
  <dc:creator>蓉儿</dc:creator>
  <cp:lastModifiedBy>蓉儿</cp:lastModifiedBy>
  <dcterms:modified xsi:type="dcterms:W3CDTF">2023-12-26T09:02:47Z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4D9811AA14CA48A38DFC6E555FF2D39A_11</vt:lpwstr>
  </property>
</Properties>
</file>