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2天1夜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4"/>
          <w:szCs w:val="32"/>
        </w:rPr>
        <w:t>美容导师、开发经理、品牌总监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课程内容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4"/>
          <w:szCs w:val="32"/>
        </w:rPr>
        <w:t>金牌导师职业素养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32"/>
        </w:rPr>
        <w:t>门店店务诊断系统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32"/>
        </w:rPr>
        <w:t>品牌业绩规划系统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4、下店培训销售系统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5、离店后业绩跟踪系统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让市场导师明确自我定位，具备良好的职业素养:热爱行业，热爱公司，热爱在果与艺业店家共保持良好形象，扎技术与专业，吃苦耐劳，持续学习，:会店务诊断品牌业绩规划、下店销售流程、业绩跟踪等工作内容;以帮助店家解决问题，提升品牌终端业绩为最终工作价值体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3D534AAC"/>
    <w:rsid w:val="3D53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2023-12-26T09:00:00Z</dcterms:created>
  <dc:creator>蓉儿</dc:creator>
  <cp:lastModifiedBy>蓉儿</cp:lastModifiedBy>
  <dcterms:modified xsi:type="dcterms:W3CDTF">2023-12-26T09:01:18Z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919E452851C34A16AC354350442B4332_11</vt:lpwstr>
  </property>
</Properties>
</file>