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Arial"/>
          <w:b/>
          <w:sz w:val="32"/>
        </w:rPr>
      </w:pPr>
      <w:r>
        <w:rPr>
          <w:rFonts w:ascii="微软雅黑" w:hAnsi="微软雅黑" w:eastAsia="微软雅黑" w:cs="Arial"/>
          <w:b/>
          <w:sz w:val="32"/>
        </w:rPr>
        <w:t>财</w:t>
      </w:r>
      <w:r>
        <w:rPr>
          <w:rFonts w:ascii="微软雅黑" w:hAnsi="微软雅黑" w:eastAsia="微软雅黑" w:cs="Arial"/>
          <w:b/>
          <w:color w:val="FF0000"/>
          <w:sz w:val="32"/>
        </w:rPr>
        <w:t>力</w:t>
      </w:r>
      <w:r>
        <w:rPr>
          <w:rFonts w:ascii="微软雅黑" w:hAnsi="微软雅黑" w:eastAsia="微软雅黑" w:cs="Arial"/>
          <w:b/>
          <w:sz w:val="32"/>
        </w:rPr>
        <w:t>言商——企业全面经营和非财管理沙盘</w:t>
      </w:r>
    </w:p>
    <w:p>
      <w:pPr>
        <w:spacing w:line="300" w:lineRule="exact"/>
        <w:jc w:val="center"/>
        <w:rPr>
          <w:rFonts w:ascii="Arial" w:hAnsi="Arial" w:eastAsia="微软雅黑" w:cs="Arial"/>
          <w:b/>
          <w:sz w:val="32"/>
        </w:rPr>
      </w:pPr>
    </w:p>
    <w:p>
      <w:pPr>
        <w:jc w:val="center"/>
        <w:rPr>
          <w:rFonts w:ascii="Arial" w:hAnsi="Arial" w:eastAsia="微软雅黑" w:cs="Arial"/>
          <w:b/>
          <w:sz w:val="20"/>
        </w:rPr>
      </w:pPr>
    </w:p>
    <w:p>
      <w:pPr>
        <w:jc w:val="center"/>
        <w:rPr>
          <w:rFonts w:ascii="Arial" w:hAnsi="Arial" w:eastAsia="微软雅黑" w:cs="Arial"/>
          <w:b/>
          <w:sz w:val="32"/>
        </w:rPr>
      </w:pPr>
      <w:r>
        <w:rPr>
          <w:rFonts w:ascii="Arial" w:hAnsi="Arial" w:eastAsia="微软雅黑" w:cs="Arial"/>
          <w:b/>
          <w:sz w:val="32"/>
        </w:rPr>
        <w:drawing>
          <wp:inline distT="0" distB="0" distL="0" distR="0">
            <wp:extent cx="3788410" cy="1684020"/>
            <wp:effectExtent l="0" t="0" r="2540" b="11430"/>
            <wp:docPr id="28" name="图片 0" descr="财力言商 小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0" descr="财力言商 小图.jpg"/>
                    <pic:cNvPicPr>
                      <a:picLocks noChangeAspect="1"/>
                    </pic:cNvPicPr>
                  </pic:nvPicPr>
                  <pic:blipFill>
                    <a:blip r:embed="rId4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3794691" cy="1686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0" w:lineRule="exact"/>
        <w:rPr>
          <w:rFonts w:ascii="Arial" w:hAnsi="微软雅黑" w:eastAsia="微软雅黑" w:cs="Arial"/>
          <w:b/>
        </w:rPr>
      </w:pPr>
    </w:p>
    <w:p>
      <w:pPr>
        <w:spacing w:line="300" w:lineRule="exact"/>
        <w:rPr>
          <w:rFonts w:ascii="Arial" w:hAnsi="Arial" w:eastAsia="微软雅黑" w:cs="Arial"/>
          <w:b/>
        </w:rPr>
      </w:pPr>
      <w:r>
        <w:rPr>
          <w:rFonts w:ascii="Arial" w:hAnsi="微软雅黑" w:eastAsia="微软雅黑" w:cs="Arial"/>
          <w:b/>
        </w:rPr>
        <w:t>一、课程背景：</w:t>
      </w:r>
    </w:p>
    <w:p>
      <w:pPr>
        <w:spacing w:line="300" w:lineRule="exact"/>
        <w:ind w:firstLine="42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大多数人在企业中工作时，往往会长期聚焦在一个部门，而当他们获得晋升时，还是基于相同的部门，这就导致员工在纵向提升的职业道路上难以通观全局，并清晰地认识到自己在本部门的日常工作、决策和行为中可能会对企业全局带来的影响</w:t>
      </w:r>
      <w:bookmarkStart w:id="0" w:name="_GoBack"/>
      <w:bookmarkEnd w:id="0"/>
      <w:r>
        <w:rPr>
          <w:rFonts w:ascii="Arial" w:hAnsi="微软雅黑" w:eastAsia="微软雅黑" w:cs="Arial"/>
        </w:rPr>
        <w:t>。</w:t>
      </w:r>
    </w:p>
    <w:p>
      <w:pPr>
        <w:spacing w:line="300" w:lineRule="exact"/>
        <w:ind w:firstLine="42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各个部门的领导者由于上述职业发展通路的原因，缺乏对企业整体经营的全局性了解，从而导致系统性管理思维的欠缺。尽管他们能够在自己熟悉的部门里做的风生水起，但是却无法理解自己的行为和决策对公司整体的影响。有时候对本部门最有利益的方案，反而可能会影响到公司的整体盈利。这就需要各位领导者能够站在更高的格局，从更宏观的角度来了解企业的整体运营情况，利用财务数据作为企业内通用的沟通语言，提高组织内跨部门的配合和协作，进而协助公司更好地发展。</w:t>
      </w:r>
    </w:p>
    <w:p>
      <w:pPr>
        <w:spacing w:line="300" w:lineRule="exact"/>
        <w:rPr>
          <w:rFonts w:ascii="Arial" w:hAnsi="微软雅黑" w:eastAsia="微软雅黑" w:cs="Arial"/>
          <w:b/>
        </w:rPr>
      </w:pPr>
    </w:p>
    <w:p>
      <w:pPr>
        <w:spacing w:line="300" w:lineRule="exact"/>
        <w:rPr>
          <w:rFonts w:ascii="Arial" w:hAnsi="Arial" w:eastAsia="微软雅黑" w:cs="Arial"/>
          <w:b/>
        </w:rPr>
      </w:pPr>
      <w:r>
        <w:rPr>
          <w:rFonts w:ascii="Arial" w:hAnsi="微软雅黑" w:eastAsia="微软雅黑" w:cs="Arial"/>
          <w:b/>
        </w:rPr>
        <w:t>二、课程收获：</w:t>
      </w:r>
    </w:p>
    <w:p>
      <w:pPr>
        <w:spacing w:line="300" w:lineRule="exact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《财力言商》将通过沙盘推演和复盘的多元化的教学，帮助学员达成以下关键收获：</w:t>
      </w:r>
    </w:p>
    <w:p>
      <w:pPr>
        <w:pStyle w:val="5"/>
        <w:numPr>
          <w:ilvl w:val="0"/>
          <w:numId w:val="1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学习基本的财务知识</w:t>
      </w:r>
    </w:p>
    <w:p>
      <w:pPr>
        <w:pStyle w:val="5"/>
        <w:spacing w:line="300" w:lineRule="exact"/>
        <w:ind w:left="420" w:firstLine="0"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通过掌握基本的财务报表知识，能够让学员从数据层面来理解企业运营过程中的各个关键指标。</w:t>
      </w:r>
    </w:p>
    <w:p>
      <w:pPr>
        <w:pStyle w:val="5"/>
        <w:numPr>
          <w:ilvl w:val="0"/>
          <w:numId w:val="1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建立全面经营的宏观视野</w:t>
      </w:r>
    </w:p>
    <w:p>
      <w:pPr>
        <w:pStyle w:val="5"/>
        <w:spacing w:line="300" w:lineRule="exact"/>
        <w:ind w:left="420" w:firstLine="0"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帮助学员跳出本部门的局限，在更高的岗位上提升驾驭全局的能力。理解企业运营中，各个部门每一个人的每一个行为可能会对公司带来的蝴蝶效应。</w:t>
      </w:r>
    </w:p>
    <w:p>
      <w:pPr>
        <w:pStyle w:val="5"/>
        <w:numPr>
          <w:ilvl w:val="0"/>
          <w:numId w:val="1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提升组织战略执行力</w:t>
      </w:r>
    </w:p>
    <w:p>
      <w:pPr>
        <w:pStyle w:val="5"/>
        <w:spacing w:line="300" w:lineRule="exact"/>
        <w:ind w:left="420" w:firstLine="0"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通过制定明确企业层面的战略目标，然后层层分解到各个部门，用财务指标作为组织和执行的参照物，确保各部门员工同心协力达成目标。</w:t>
      </w:r>
    </w:p>
    <w:p>
      <w:pPr>
        <w:pStyle w:val="5"/>
        <w:numPr>
          <w:ilvl w:val="0"/>
          <w:numId w:val="1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促进跨部门沟通</w:t>
      </w:r>
    </w:p>
    <w:p>
      <w:pPr>
        <w:pStyle w:val="5"/>
        <w:spacing w:line="300" w:lineRule="exact"/>
        <w:ind w:left="420" w:firstLine="0"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打破部门墙，统一步调，避免内耗，用财务数据作为各部门沟通的通用语言，快速形成合力，形成事实上的团队合作，而不是仅仅停留在口号上。</w:t>
      </w:r>
    </w:p>
    <w:p>
      <w:pPr>
        <w:pStyle w:val="5"/>
        <w:numPr>
          <w:ilvl w:val="0"/>
          <w:numId w:val="1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形成经营意识</w:t>
      </w:r>
    </w:p>
    <w:p>
      <w:pPr>
        <w:pStyle w:val="5"/>
        <w:spacing w:line="300" w:lineRule="exact"/>
        <w:ind w:left="420" w:firstLine="0"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企业面临战略转型，从关注收入、规模的增长到关注企业的盈利能力；从粗放式的管理到精细化管理。通过沙盘模拟能够快速帮助学员形成经营意识，确保管理者的思维与时俱进！</w:t>
      </w:r>
    </w:p>
    <w:p>
      <w:pPr>
        <w:pStyle w:val="5"/>
        <w:numPr>
          <w:ilvl w:val="0"/>
          <w:numId w:val="1"/>
        </w:numPr>
        <w:spacing w:line="300" w:lineRule="exact"/>
        <w:ind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掌握科学的领导决策力</w:t>
      </w:r>
    </w:p>
    <w:p>
      <w:pPr>
        <w:pStyle w:val="5"/>
        <w:spacing w:line="300" w:lineRule="exact"/>
        <w:ind w:left="420" w:firstLine="0" w:firstLineChars="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基于经验？基于直觉？还是用数据说话？通过沙盘模拟帮助学员直观地看到高效科学的决策方法，并能够让团队自觉接受和协同执行。</w:t>
      </w:r>
    </w:p>
    <w:p>
      <w:pPr>
        <w:spacing w:line="300" w:lineRule="exact"/>
        <w:rPr>
          <w:rFonts w:ascii="Arial" w:hAnsi="Arial" w:eastAsia="微软雅黑" w:cs="Arial"/>
          <w:b/>
        </w:rPr>
      </w:pPr>
      <w:r>
        <w:rPr>
          <w:rFonts w:ascii="Arial" w:hAnsi="微软雅黑" w:eastAsia="微软雅黑" w:cs="Arial"/>
          <w:b/>
        </w:rPr>
        <w:t>三、沙盘推演：</w:t>
      </w:r>
    </w:p>
    <w:p>
      <w:pPr>
        <w:spacing w:line="300" w:lineRule="exact"/>
        <w:ind w:firstLine="42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在这场为期</w:t>
      </w:r>
      <w:r>
        <w:rPr>
          <w:rFonts w:ascii="Arial" w:hAnsi="Arial" w:eastAsia="微软雅黑" w:cs="Arial"/>
        </w:rPr>
        <w:t>2</w:t>
      </w:r>
      <w:r>
        <w:rPr>
          <w:rFonts w:ascii="Arial" w:hAnsi="微软雅黑" w:eastAsia="微软雅黑" w:cs="Arial"/>
        </w:rPr>
        <w:t>天的仿真模拟沙盘推演中，各位学员将接手一个已经经营了若干年的产业，他们将一起组成核心领导团队，一起负责这个企业的整体管理，并通过换位来体验自己未曾涉猎的企业职能部门</w:t>
      </w:r>
      <w:r>
        <w:rPr>
          <w:rFonts w:ascii="Arial" w:hAnsi="Arial" w:eastAsia="微软雅黑" w:cs="Arial"/>
        </w:rPr>
        <w:t>——</w:t>
      </w:r>
      <w:r>
        <w:rPr>
          <w:rFonts w:ascii="Arial" w:hAnsi="微软雅黑" w:eastAsia="微软雅黑" w:cs="Arial"/>
        </w:rPr>
        <w:t>采购、销售、生产、研发、运营、财务，等。大家需要为企业的长远发展负责，面对不同的内部和外部环境，市场需求的变化、竞争对手的策略、自己企业的定位和决策也在发生着微妙的动态变化。</w:t>
      </w:r>
    </w:p>
    <w:p>
      <w:pPr>
        <w:spacing w:line="300" w:lineRule="exact"/>
        <w:ind w:firstLine="420"/>
        <w:rPr>
          <w:rFonts w:ascii="Arial" w:hAnsi="Arial" w:eastAsia="微软雅黑" w:cs="Arial"/>
          <w:color w:val="FF0000"/>
        </w:rPr>
      </w:pPr>
      <w:r>
        <w:rPr>
          <w:rFonts w:ascii="Arial" w:hAnsi="微软雅黑" w:eastAsia="微软雅黑" w:cs="Arial"/>
        </w:rPr>
        <w:t>《财力言商》将帮助企业未来的领导者提前一览企业运营的全貌，在沙盘推演中经历数年的商战风云，给他们提升全局观和建立企业整体经营策略的思维能力，从而能够让他们站在全局的角度，用领导者的视野去分析问题和理解决策。</w:t>
      </w:r>
    </w:p>
    <w:p>
      <w:pPr>
        <w:spacing w:line="300" w:lineRule="exact"/>
        <w:rPr>
          <w:rFonts w:ascii="Arial" w:hAnsi="Arial" w:eastAsia="微软雅黑" w:cs="Arial"/>
          <w:b/>
        </w:rPr>
      </w:pPr>
      <w:r>
        <w:rPr>
          <w:rFonts w:ascii="Arial" w:hAnsi="微软雅黑" w:eastAsia="微软雅黑" w:cs="Arial"/>
          <w:b/>
        </w:rPr>
        <w:t>四、课程大纲：</w:t>
      </w:r>
    </w:p>
    <w:p>
      <w:pPr>
        <w:spacing w:line="300" w:lineRule="exact"/>
        <w:ind w:firstLine="42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学员接手一家已经运营了若干年的公司，并顺利经营</w:t>
      </w:r>
      <w:r>
        <w:rPr>
          <w:rFonts w:ascii="Arial" w:hAnsi="Arial" w:eastAsia="微软雅黑" w:cs="Arial"/>
        </w:rPr>
        <w:t>6</w:t>
      </w:r>
      <w:r>
        <w:rPr>
          <w:rFonts w:ascii="Arial" w:hAnsi="微软雅黑" w:eastAsia="微软雅黑" w:cs="Arial"/>
        </w:rPr>
        <w:t>年，每年他们都会面临不同的问题，在模拟推演的过程中逐步掌握以下全面的企业经营管理技能。</w:t>
      </w:r>
    </w:p>
    <w:p>
      <w:pPr>
        <w:spacing w:line="300" w:lineRule="exact"/>
        <w:rPr>
          <w:rFonts w:ascii="Arial" w:hAnsi="Arial" w:eastAsia="微软雅黑" w:cs="Arial"/>
        </w:rPr>
      </w:pPr>
      <w:r>
        <w:rPr>
          <w:rFonts w:ascii="Arial" w:hAnsi="Arial" w:eastAsia="微软雅黑" w:cs="Arial"/>
        </w:rPr>
        <w:t>1</w:t>
      </w:r>
      <w:r>
        <w:rPr>
          <w:rFonts w:ascii="Arial" w:hAnsi="微软雅黑" w:eastAsia="微软雅黑" w:cs="Arial"/>
        </w:rPr>
        <w:t>、企业的整体意识</w:t>
      </w:r>
    </w:p>
    <w:p>
      <w:pPr>
        <w:spacing w:line="300" w:lineRule="exact"/>
        <w:ind w:firstLine="42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评估公司的资源以及运营企业的相关问题，制定长中短期目标以及相应的策略。</w:t>
      </w:r>
    </w:p>
    <w:p>
      <w:pPr>
        <w:spacing w:line="300" w:lineRule="exact"/>
        <w:rPr>
          <w:rFonts w:ascii="Arial" w:hAnsi="Arial" w:eastAsia="微软雅黑" w:cs="Arial"/>
        </w:rPr>
      </w:pPr>
      <w:r>
        <w:rPr>
          <w:rFonts w:ascii="Arial" w:hAnsi="Arial" w:eastAsia="微软雅黑" w:cs="Arial"/>
        </w:rPr>
        <w:t>2</w:t>
      </w:r>
      <w:r>
        <w:rPr>
          <w:rFonts w:ascii="Arial" w:hAnsi="微软雅黑" w:eastAsia="微软雅黑" w:cs="Arial"/>
        </w:rPr>
        <w:t>、基本财务概念</w:t>
      </w:r>
    </w:p>
    <w:p>
      <w:pPr>
        <w:spacing w:line="300" w:lineRule="exact"/>
        <w:ind w:left="420" w:leftChars="20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通过沙盘和财务报表的对应，学习解读财务报表信息</w:t>
      </w:r>
    </w:p>
    <w:p>
      <w:pPr>
        <w:spacing w:line="300" w:lineRule="exact"/>
        <w:ind w:left="420" w:leftChars="20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制定投资计划，评估应收款账期和投资回报率</w:t>
      </w:r>
    </w:p>
    <w:p>
      <w:pPr>
        <w:spacing w:line="300" w:lineRule="exact"/>
        <w:ind w:left="420" w:leftChars="20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预估长期、短期资金缺口，寻求融资渠道</w:t>
      </w:r>
    </w:p>
    <w:p>
      <w:pPr>
        <w:spacing w:line="300" w:lineRule="exact"/>
        <w:ind w:left="420" w:leftChars="20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合理利用现金流，妥善管理账目的流入和流出</w:t>
      </w:r>
    </w:p>
    <w:p>
      <w:pPr>
        <w:spacing w:line="300" w:lineRule="exact"/>
        <w:ind w:left="420" w:leftChars="20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选择合理的融资方式，把钱用到刀刃上</w:t>
      </w:r>
    </w:p>
    <w:p>
      <w:pPr>
        <w:spacing w:line="300" w:lineRule="exact"/>
        <w:ind w:left="420" w:leftChars="20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利用关键财务指标进行内部诊断，协助管理决策</w:t>
      </w:r>
    </w:p>
    <w:p>
      <w:pPr>
        <w:spacing w:line="300" w:lineRule="exact"/>
        <w:ind w:left="420" w:leftChars="20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如何利用有限的资金实现盈利，创造更高的利润</w:t>
      </w:r>
    </w:p>
    <w:p>
      <w:pPr>
        <w:spacing w:line="300" w:lineRule="exact"/>
        <w:ind w:left="420" w:leftChars="20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编制财务报表，计算企业盈利情况，并基于报表制定决策</w:t>
      </w:r>
    </w:p>
    <w:p>
      <w:pPr>
        <w:spacing w:line="300" w:lineRule="exact"/>
        <w:rPr>
          <w:rFonts w:ascii="Arial" w:hAnsi="Arial" w:eastAsia="微软雅黑" w:cs="Arial"/>
        </w:rPr>
      </w:pPr>
      <w:r>
        <w:rPr>
          <w:rFonts w:ascii="Arial" w:hAnsi="Arial" w:eastAsia="微软雅黑" w:cs="Arial"/>
        </w:rPr>
        <w:t>3</w:t>
      </w:r>
      <w:r>
        <w:rPr>
          <w:rFonts w:ascii="Arial" w:hAnsi="微软雅黑" w:eastAsia="微软雅黑" w:cs="Arial"/>
        </w:rPr>
        <w:t>、市场营销与销售管理</w:t>
      </w:r>
    </w:p>
    <w:p>
      <w:pPr>
        <w:spacing w:line="300" w:lineRule="exact"/>
        <w:ind w:left="420" w:leftChars="20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进入新市场的分析和决策</w:t>
      </w:r>
    </w:p>
    <w:p>
      <w:pPr>
        <w:spacing w:line="300" w:lineRule="exact"/>
        <w:ind w:left="420" w:leftChars="20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产品开发、产品组合与市场定位的决策</w:t>
      </w:r>
    </w:p>
    <w:p>
      <w:pPr>
        <w:spacing w:line="300" w:lineRule="exact"/>
        <w:ind w:left="420" w:leftChars="20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市场中投标与竞标，营销效率分析</w:t>
      </w:r>
    </w:p>
    <w:p>
      <w:pPr>
        <w:spacing w:line="300" w:lineRule="exact"/>
        <w:ind w:left="420" w:leftChars="20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积极搜集市场信息，抢攻市场</w:t>
      </w:r>
    </w:p>
    <w:p>
      <w:pPr>
        <w:spacing w:line="300" w:lineRule="exact"/>
        <w:ind w:left="420" w:leftChars="20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寻找不同市场的赢利点</w:t>
      </w:r>
    </w:p>
    <w:p>
      <w:pPr>
        <w:spacing w:line="300" w:lineRule="exact"/>
        <w:rPr>
          <w:rFonts w:ascii="Arial" w:hAnsi="Arial" w:eastAsia="微软雅黑" w:cs="Arial"/>
        </w:rPr>
      </w:pPr>
      <w:r>
        <w:rPr>
          <w:rFonts w:ascii="Arial" w:hAnsi="Arial" w:eastAsia="微软雅黑" w:cs="Arial"/>
        </w:rPr>
        <w:t>4.</w:t>
      </w:r>
      <w:r>
        <w:rPr>
          <w:rFonts w:ascii="Arial" w:hAnsi="微软雅黑" w:eastAsia="微软雅黑" w:cs="Arial"/>
        </w:rPr>
        <w:t>、产品研发方向</w:t>
      </w:r>
    </w:p>
    <w:p>
      <w:pPr>
        <w:spacing w:line="300" w:lineRule="exact"/>
        <w:ind w:left="420" w:leftChars="20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合理的产品研发决策</w:t>
      </w:r>
    </w:p>
    <w:p>
      <w:pPr>
        <w:spacing w:line="300" w:lineRule="exact"/>
        <w:ind w:left="420" w:leftChars="20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与公司战略定位匹配的研发策略</w:t>
      </w:r>
    </w:p>
    <w:p>
      <w:pPr>
        <w:spacing w:line="300" w:lineRule="exact"/>
        <w:ind w:left="420" w:leftChars="20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产品生命周期管理</w:t>
      </w:r>
    </w:p>
    <w:p>
      <w:pPr>
        <w:spacing w:line="300" w:lineRule="exact"/>
        <w:rPr>
          <w:rFonts w:ascii="Arial" w:hAnsi="Arial" w:eastAsia="微软雅黑" w:cs="Arial"/>
        </w:rPr>
      </w:pPr>
      <w:r>
        <w:rPr>
          <w:rFonts w:ascii="Arial" w:hAnsi="Arial" w:eastAsia="微软雅黑" w:cs="Arial"/>
        </w:rPr>
        <w:t>5</w:t>
      </w:r>
      <w:r>
        <w:rPr>
          <w:rFonts w:ascii="Arial" w:hAnsi="微软雅黑" w:eastAsia="微软雅黑" w:cs="Arial"/>
        </w:rPr>
        <w:t>、生产与库存管理</w:t>
      </w:r>
    </w:p>
    <w:p>
      <w:pPr>
        <w:spacing w:line="300" w:lineRule="exact"/>
        <w:ind w:left="420" w:leftChars="20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研发和生产配合或产能调整</w:t>
      </w:r>
    </w:p>
    <w:p>
      <w:pPr>
        <w:spacing w:line="300" w:lineRule="exact"/>
        <w:ind w:left="420" w:leftChars="20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生产与库存调度：同时配合市场需求、交货日期、交货量以及库存</w:t>
      </w:r>
    </w:p>
    <w:p>
      <w:pPr>
        <w:spacing w:line="300" w:lineRule="exact"/>
        <w:ind w:left="420" w:leftChars="20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库存管理与产销配合</w:t>
      </w:r>
    </w:p>
    <w:p>
      <w:pPr>
        <w:spacing w:line="300" w:lineRule="exact"/>
        <w:ind w:left="420" w:leftChars="20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发现生产中的浪费和瓶颈并加以改善和突破</w:t>
      </w:r>
    </w:p>
    <w:p>
      <w:pPr>
        <w:spacing w:line="300" w:lineRule="exact"/>
        <w:rPr>
          <w:rFonts w:ascii="Arial" w:hAnsi="Arial" w:eastAsia="微软雅黑" w:cs="Arial"/>
        </w:rPr>
      </w:pPr>
      <w:r>
        <w:rPr>
          <w:rFonts w:ascii="Arial" w:hAnsi="Arial" w:eastAsia="微软雅黑" w:cs="Arial"/>
        </w:rPr>
        <w:t>6</w:t>
      </w:r>
      <w:r>
        <w:rPr>
          <w:rFonts w:ascii="Arial" w:hAnsi="微软雅黑" w:eastAsia="微软雅黑" w:cs="Arial"/>
        </w:rPr>
        <w:t>、团队协作与跨部门沟通</w:t>
      </w:r>
    </w:p>
    <w:p>
      <w:pPr>
        <w:spacing w:line="300" w:lineRule="exact"/>
        <w:ind w:left="420" w:leftChars="20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打破部门墙，实现高效的跨部门沟通</w:t>
      </w:r>
    </w:p>
    <w:p>
      <w:pPr>
        <w:spacing w:line="300" w:lineRule="exact"/>
        <w:ind w:left="420" w:leftChars="20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利用财务数据作为跨部门沟通的共同语言</w:t>
      </w:r>
    </w:p>
    <w:p>
      <w:pPr>
        <w:spacing w:line="300" w:lineRule="exact"/>
        <w:ind w:left="420" w:leftChars="200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培养各个部门以公司盈利为核心的共同价值观和经营理念</w:t>
      </w:r>
    </w:p>
    <w:p>
      <w:pPr>
        <w:spacing w:line="300" w:lineRule="exact"/>
        <w:rPr>
          <w:rFonts w:ascii="Arial" w:hAnsi="微软雅黑" w:eastAsia="微软雅黑" w:cs="Arial"/>
          <w:b/>
        </w:rPr>
      </w:pPr>
      <w:r>
        <w:rPr>
          <w:rFonts w:ascii="Arial" w:hAnsi="微软雅黑" w:eastAsia="微软雅黑" w:cs="Arial"/>
          <w:b/>
        </w:rPr>
        <w:t>五、受众群体：</w:t>
      </w:r>
    </w:p>
    <w:p>
      <w:pPr>
        <w:spacing w:line="300" w:lineRule="exact"/>
        <w:rPr>
          <w:rFonts w:ascii="Arial" w:hAnsi="Arial" w:eastAsia="微软雅黑" w:cs="Arial"/>
        </w:rPr>
      </w:pPr>
      <w:r>
        <w:rPr>
          <w:rFonts w:ascii="Arial" w:hAnsi="微软雅黑" w:eastAsia="微软雅黑" w:cs="Arial"/>
        </w:rPr>
        <w:t>企业中高管、储备干部、创业者（建议</w:t>
      </w:r>
      <w:r>
        <w:rPr>
          <w:rFonts w:ascii="Arial" w:hAnsi="Arial" w:eastAsia="微软雅黑" w:cs="Arial"/>
        </w:rPr>
        <w:t>6</w:t>
      </w:r>
      <w:r>
        <w:rPr>
          <w:rFonts w:ascii="Arial" w:hAnsi="微软雅黑" w:eastAsia="微软雅黑" w:cs="Arial"/>
        </w:rPr>
        <w:t>组，每组</w:t>
      </w:r>
      <w:r>
        <w:rPr>
          <w:rFonts w:ascii="Arial" w:hAnsi="Arial" w:eastAsia="微软雅黑" w:cs="Arial"/>
        </w:rPr>
        <w:t>4-8</w:t>
      </w:r>
      <w:r>
        <w:rPr>
          <w:rFonts w:ascii="Arial" w:hAnsi="微软雅黑" w:eastAsia="微软雅黑" w:cs="Arial"/>
        </w:rPr>
        <w:t>人）</w:t>
      </w:r>
    </w:p>
    <w:p>
      <w:pPr>
        <w:spacing w:line="300" w:lineRule="exact"/>
        <w:rPr>
          <w:rFonts w:ascii="Arial" w:hAnsi="微软雅黑" w:eastAsia="微软雅黑" w:cs="Arial"/>
          <w:b/>
        </w:rPr>
      </w:pPr>
      <w:r>
        <w:rPr>
          <w:rFonts w:ascii="Arial" w:hAnsi="微软雅黑" w:eastAsia="微软雅黑" w:cs="Arial"/>
          <w:b/>
        </w:rPr>
        <w:t>六、授课时间：</w:t>
      </w:r>
    </w:p>
    <w:p>
      <w:pPr>
        <w:spacing w:line="300" w:lineRule="exact"/>
      </w:pPr>
      <w:r>
        <w:rPr>
          <w:rFonts w:ascii="Arial" w:hAnsi="Arial" w:eastAsia="微软雅黑" w:cs="Arial"/>
        </w:rPr>
        <w:t>标准课时2</w:t>
      </w:r>
      <w:r>
        <w:rPr>
          <w:rFonts w:ascii="Arial" w:hAnsi="微软雅黑" w:eastAsia="微软雅黑" w:cs="Arial"/>
        </w:rPr>
        <w:t>天（</w:t>
      </w:r>
      <w:r>
        <w:rPr>
          <w:rFonts w:ascii="Arial" w:hAnsi="Arial" w:eastAsia="微软雅黑" w:cs="Arial"/>
        </w:rPr>
        <w:t>12</w:t>
      </w:r>
      <w:r>
        <w:rPr>
          <w:rFonts w:ascii="Arial" w:hAnsi="微软雅黑" w:eastAsia="微软雅黑" w:cs="Arial"/>
        </w:rPr>
        <w:t>小时），可压缩至</w:t>
      </w:r>
      <w:r>
        <w:rPr>
          <w:rFonts w:hint="eastAsia" w:ascii="Arial" w:hAnsi="微软雅黑" w:eastAsia="微软雅黑" w:cs="Arial"/>
        </w:rPr>
        <w:t>1天（6小时）或0.5天（3-4小时）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8D2D82"/>
    <w:multiLevelType w:val="multilevel"/>
    <w:tmpl w:val="708D2D82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A36946"/>
    <w:rsid w:val="7FA36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2021-03-20T03:54:00Z</dcterms:created>
  <dc:creator>未妨惆怅是清狂</dc:creator>
  <cp:lastModifiedBy>未妨惆怅是清狂</cp:lastModifiedBy>
  <dcterms:modified xsi:type="dcterms:W3CDTF">2021-03-20T03:54:28Z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