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A0D" w:rsidRPr="00E62542" w:rsidRDefault="00872CC4" w:rsidP="001E3103">
      <w:pPr>
        <w:pStyle w:val="11"/>
        <w:outlineLvl w:val="0"/>
      </w:pPr>
      <w:bookmarkStart w:id="0" w:name="_Toc531895986"/>
      <w:r w:rsidRPr="00872CC4">
        <w:rPr>
          <w:rFonts w:hint="eastAsia"/>
        </w:rPr>
        <w:t>建立数字化时代的战略优势</w:t>
      </w:r>
      <w:r w:rsidR="00970B01" w:rsidRPr="00970B01">
        <w:rPr>
          <w:b w:val="0"/>
          <w:noProof/>
          <w:sz w:val="24"/>
          <w:szCs w:val="28"/>
        </w:rPr>
        <w:t xml:space="preserve"> </w:t>
      </w:r>
      <w:bookmarkEnd w:id="0"/>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课程背景</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这是一个快速变化的世界，这是一个</w:t>
      </w:r>
      <w:r w:rsidRPr="00187A0D">
        <w:rPr>
          <w:rFonts w:ascii="微软雅黑" w:eastAsia="微软雅黑" w:hAnsi="微软雅黑"/>
          <w:sz w:val="24"/>
          <w:szCs w:val="28"/>
        </w:rPr>
        <w:t>VUCA</w:t>
      </w:r>
      <w:r w:rsidRPr="00187A0D">
        <w:rPr>
          <w:rFonts w:ascii="微软雅黑" w:eastAsia="微软雅黑" w:hAnsi="微软雅黑" w:hint="eastAsia"/>
          <w:sz w:val="24"/>
          <w:szCs w:val="28"/>
        </w:rPr>
        <w:t>的时代！企业管理者的决策能力正面临前所未有的挑战。如何在瞬息万变且纷繁复杂的环境中，根据模糊的数据与现象去推测不确定的未来，驾驭企业的小舟在暗流涌动的商海乘风破浪？随着中国经济告别快速增长的黄金岁月，缜密的战略设计、完善的商业模式、均衡的管理体系以及高效的执行能力已成为企业不可或缺的制胜法宝。</w:t>
      </w:r>
    </w:p>
    <w:p w:rsidR="00187A0D" w:rsidRPr="00187A0D" w:rsidRDefault="00872CC4" w:rsidP="00A4150E">
      <w:pPr>
        <w:ind w:firstLineChars="200" w:firstLine="480"/>
        <w:rPr>
          <w:rFonts w:ascii="微软雅黑" w:eastAsia="微软雅黑" w:hAnsi="微软雅黑"/>
          <w:sz w:val="24"/>
          <w:szCs w:val="28"/>
        </w:rPr>
      </w:pPr>
      <w:r>
        <w:rPr>
          <w:rFonts w:ascii="微软雅黑" w:eastAsia="微软雅黑" w:hAnsi="微软雅黑" w:hint="eastAsia"/>
          <w:sz w:val="24"/>
          <w:szCs w:val="28"/>
        </w:rPr>
        <w:t>本</w:t>
      </w:r>
      <w:r w:rsidR="00187A0D" w:rsidRPr="00187A0D">
        <w:rPr>
          <w:rFonts w:ascii="微软雅黑" w:eastAsia="微软雅黑" w:hAnsi="微软雅黑" w:hint="eastAsia"/>
          <w:sz w:val="24"/>
          <w:szCs w:val="28"/>
        </w:rPr>
        <w:t>课程采用讲座、</w:t>
      </w:r>
      <w:r>
        <w:rPr>
          <w:rFonts w:ascii="微软雅黑" w:eastAsia="微软雅黑" w:hAnsi="微软雅黑" w:hint="eastAsia"/>
          <w:sz w:val="24"/>
          <w:szCs w:val="28"/>
        </w:rPr>
        <w:t>案例分析</w:t>
      </w:r>
      <w:r w:rsidR="00187A0D" w:rsidRPr="00187A0D">
        <w:rPr>
          <w:rFonts w:ascii="微软雅黑" w:eastAsia="微软雅黑" w:hAnsi="微软雅黑" w:hint="eastAsia"/>
          <w:sz w:val="24"/>
          <w:szCs w:val="28"/>
        </w:rPr>
        <w:t>、团队挑战</w:t>
      </w:r>
      <w:r>
        <w:rPr>
          <w:rFonts w:ascii="微软雅黑" w:eastAsia="微软雅黑" w:hAnsi="微软雅黑" w:hint="eastAsia"/>
          <w:sz w:val="24"/>
          <w:szCs w:val="28"/>
        </w:rPr>
        <w:t>、工作坊</w:t>
      </w:r>
      <w:r w:rsidR="00187A0D" w:rsidRPr="00187A0D">
        <w:rPr>
          <w:rFonts w:ascii="微软雅黑" w:eastAsia="微软雅黑" w:hAnsi="微软雅黑" w:hint="eastAsia"/>
          <w:sz w:val="24"/>
          <w:szCs w:val="28"/>
        </w:rPr>
        <w:t>等多种形式，为学员提供独特的综合管理体验，帮助其建立完整的战略思维框架和全局意识，提升商业敏感度，为公司</w:t>
      </w:r>
      <w:r>
        <w:rPr>
          <w:rFonts w:ascii="微软雅黑" w:eastAsia="微软雅黑" w:hAnsi="微软雅黑" w:hint="eastAsia"/>
          <w:sz w:val="24"/>
          <w:szCs w:val="28"/>
        </w:rPr>
        <w:t>在数字化时代进行</w:t>
      </w:r>
      <w:r w:rsidR="00187A0D" w:rsidRPr="00187A0D">
        <w:rPr>
          <w:rFonts w:ascii="微软雅黑" w:eastAsia="微软雅黑" w:hAnsi="微软雅黑" w:hint="eastAsia"/>
          <w:sz w:val="24"/>
          <w:szCs w:val="28"/>
        </w:rPr>
        <w:t>战略优化、贯彻战略的落地实施、实现内部跨部门协同及建设高绩效团队打下坚实的基础。</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课程收益</w:t>
      </w:r>
    </w:p>
    <w:p w:rsidR="0097429C" w:rsidRPr="0097429C" w:rsidRDefault="0097429C" w:rsidP="0097429C">
      <w:pPr>
        <w:pStyle w:val="a4"/>
        <w:numPr>
          <w:ilvl w:val="0"/>
          <w:numId w:val="2"/>
        </w:numPr>
        <w:spacing w:after="160" w:line="256" w:lineRule="auto"/>
        <w:ind w:firstLineChars="0"/>
        <w:rPr>
          <w:rFonts w:ascii="微软雅黑" w:eastAsia="微软雅黑" w:hAnsi="微软雅黑" w:hint="eastAsia"/>
          <w:sz w:val="24"/>
          <w:szCs w:val="28"/>
        </w:rPr>
      </w:pPr>
      <w:r w:rsidRPr="0097429C">
        <w:rPr>
          <w:rFonts w:ascii="微软雅黑" w:eastAsia="微软雅黑" w:hAnsi="微软雅黑" w:hint="eastAsia"/>
          <w:sz w:val="24"/>
          <w:szCs w:val="28"/>
        </w:rPr>
        <w:t>掌握商业模式画布的应用</w:t>
      </w:r>
    </w:p>
    <w:p w:rsidR="0097429C" w:rsidRPr="0097429C" w:rsidRDefault="0097429C" w:rsidP="0097429C">
      <w:pPr>
        <w:pStyle w:val="a4"/>
        <w:numPr>
          <w:ilvl w:val="0"/>
          <w:numId w:val="2"/>
        </w:numPr>
        <w:spacing w:after="160" w:line="256" w:lineRule="auto"/>
        <w:ind w:firstLineChars="0"/>
        <w:rPr>
          <w:rFonts w:ascii="微软雅黑" w:eastAsia="微软雅黑" w:hAnsi="微软雅黑" w:hint="eastAsia"/>
          <w:sz w:val="24"/>
          <w:szCs w:val="28"/>
        </w:rPr>
      </w:pPr>
      <w:r w:rsidRPr="0097429C">
        <w:rPr>
          <w:rFonts w:ascii="微软雅黑" w:eastAsia="微软雅黑" w:hAnsi="微软雅黑" w:hint="eastAsia"/>
          <w:sz w:val="24"/>
          <w:szCs w:val="28"/>
        </w:rPr>
        <w:t>树立正确的商业思维，理解商业模式与战略之间的关联</w:t>
      </w:r>
    </w:p>
    <w:p w:rsidR="0097429C" w:rsidRPr="0097429C" w:rsidRDefault="0097429C" w:rsidP="0097429C">
      <w:pPr>
        <w:pStyle w:val="a4"/>
        <w:numPr>
          <w:ilvl w:val="0"/>
          <w:numId w:val="2"/>
        </w:numPr>
        <w:spacing w:after="160" w:line="256" w:lineRule="auto"/>
        <w:ind w:firstLineChars="0"/>
        <w:rPr>
          <w:rFonts w:ascii="微软雅黑" w:eastAsia="微软雅黑" w:hAnsi="微软雅黑" w:hint="eastAsia"/>
          <w:sz w:val="24"/>
          <w:szCs w:val="28"/>
        </w:rPr>
      </w:pPr>
      <w:r w:rsidRPr="0097429C">
        <w:rPr>
          <w:rFonts w:ascii="微软雅黑" w:eastAsia="微软雅黑" w:hAnsi="微软雅黑" w:hint="eastAsia"/>
          <w:sz w:val="24"/>
          <w:szCs w:val="28"/>
        </w:rPr>
        <w:t>树立在通用细分市场建立竞争优势的战略思维</w:t>
      </w:r>
    </w:p>
    <w:p w:rsidR="0097429C" w:rsidRPr="0097429C" w:rsidRDefault="0097429C" w:rsidP="0097429C">
      <w:pPr>
        <w:pStyle w:val="a4"/>
        <w:numPr>
          <w:ilvl w:val="0"/>
          <w:numId w:val="2"/>
        </w:numPr>
        <w:spacing w:after="160" w:line="256" w:lineRule="auto"/>
        <w:ind w:firstLineChars="0"/>
        <w:rPr>
          <w:rFonts w:ascii="微软雅黑" w:eastAsia="微软雅黑" w:hAnsi="微软雅黑" w:hint="eastAsia"/>
          <w:sz w:val="24"/>
          <w:szCs w:val="28"/>
        </w:rPr>
      </w:pPr>
      <w:r w:rsidRPr="0097429C">
        <w:rPr>
          <w:rFonts w:ascii="微软雅黑" w:eastAsia="微软雅黑" w:hAnsi="微软雅黑" w:hint="eastAsia"/>
          <w:sz w:val="24"/>
          <w:szCs w:val="28"/>
        </w:rPr>
        <w:t>掌握在数字化时代背景下基于客户价值诉求规划战略方向的方法</w:t>
      </w:r>
    </w:p>
    <w:p w:rsidR="0097429C" w:rsidRPr="0097429C" w:rsidRDefault="0097429C" w:rsidP="0097429C">
      <w:pPr>
        <w:pStyle w:val="a4"/>
        <w:numPr>
          <w:ilvl w:val="0"/>
          <w:numId w:val="2"/>
        </w:numPr>
        <w:spacing w:after="160" w:line="256" w:lineRule="auto"/>
        <w:ind w:firstLineChars="0"/>
        <w:rPr>
          <w:rFonts w:ascii="微软雅黑" w:eastAsia="微软雅黑" w:hAnsi="微软雅黑" w:hint="eastAsia"/>
          <w:sz w:val="24"/>
          <w:szCs w:val="28"/>
        </w:rPr>
      </w:pPr>
      <w:r w:rsidRPr="0097429C">
        <w:rPr>
          <w:rFonts w:ascii="微软雅黑" w:eastAsia="微软雅黑" w:hAnsi="微软雅黑" w:hint="eastAsia"/>
          <w:sz w:val="24"/>
          <w:szCs w:val="28"/>
        </w:rPr>
        <w:t>掌握从单一产品向多元化经营发展的战略路径选择策略</w:t>
      </w:r>
    </w:p>
    <w:p w:rsidR="0097429C" w:rsidRPr="0097429C" w:rsidRDefault="0097429C" w:rsidP="0097429C">
      <w:pPr>
        <w:pStyle w:val="a4"/>
        <w:numPr>
          <w:ilvl w:val="0"/>
          <w:numId w:val="2"/>
        </w:numPr>
        <w:spacing w:after="160" w:line="256" w:lineRule="auto"/>
        <w:ind w:firstLineChars="0"/>
        <w:rPr>
          <w:rFonts w:ascii="微软雅黑" w:eastAsia="微软雅黑" w:hAnsi="微软雅黑" w:hint="eastAsia"/>
          <w:sz w:val="24"/>
          <w:szCs w:val="28"/>
        </w:rPr>
      </w:pPr>
      <w:r w:rsidRPr="0097429C">
        <w:rPr>
          <w:rFonts w:ascii="微软雅黑" w:eastAsia="微软雅黑" w:hAnsi="微软雅黑" w:hint="eastAsia"/>
          <w:sz w:val="24"/>
          <w:szCs w:val="28"/>
        </w:rPr>
        <w:t>掌握PESTEL、麦肯锡矩阵、TOWS分析等经典战略分析工具，强化对宏观环境、竞争趋势以及产品布局的洞察</w:t>
      </w:r>
    </w:p>
    <w:p w:rsidR="0097429C" w:rsidRPr="0097429C" w:rsidRDefault="0097429C" w:rsidP="0097429C">
      <w:pPr>
        <w:pStyle w:val="a4"/>
        <w:numPr>
          <w:ilvl w:val="0"/>
          <w:numId w:val="2"/>
        </w:numPr>
        <w:spacing w:after="160" w:line="256" w:lineRule="auto"/>
        <w:ind w:firstLineChars="0"/>
        <w:rPr>
          <w:rFonts w:ascii="微软雅黑" w:eastAsia="微软雅黑" w:hAnsi="微软雅黑" w:hint="eastAsia"/>
          <w:sz w:val="24"/>
          <w:szCs w:val="28"/>
        </w:rPr>
      </w:pPr>
      <w:r w:rsidRPr="0097429C">
        <w:rPr>
          <w:rFonts w:ascii="微软雅黑" w:eastAsia="微软雅黑" w:hAnsi="微软雅黑" w:hint="eastAsia"/>
          <w:sz w:val="24"/>
          <w:szCs w:val="28"/>
        </w:rPr>
        <w:lastRenderedPageBreak/>
        <w:t>学习运用华为和IBM最经典的战略规划执行工具-BLM业务领先模型</w:t>
      </w:r>
    </w:p>
    <w:p w:rsidR="00187A0D" w:rsidRPr="0097429C" w:rsidRDefault="0097429C" w:rsidP="00A04ABC">
      <w:pPr>
        <w:pStyle w:val="a4"/>
        <w:numPr>
          <w:ilvl w:val="0"/>
          <w:numId w:val="2"/>
        </w:numPr>
        <w:spacing w:after="160" w:line="256" w:lineRule="auto"/>
        <w:ind w:firstLineChars="0"/>
        <w:rPr>
          <w:rFonts w:ascii="微软雅黑" w:eastAsia="微软雅黑" w:hAnsi="微软雅黑"/>
          <w:sz w:val="24"/>
          <w:szCs w:val="28"/>
        </w:rPr>
      </w:pPr>
      <w:r w:rsidRPr="0097429C">
        <w:rPr>
          <w:rFonts w:ascii="微软雅黑" w:eastAsia="微软雅黑" w:hAnsi="微软雅黑" w:hint="eastAsia"/>
          <w:sz w:val="24"/>
          <w:szCs w:val="28"/>
        </w:rPr>
        <w:t>理解战略落地的三要素保障，确保战略不再是空谈</w:t>
      </w: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课程时间</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sz w:val="24"/>
          <w:szCs w:val="28"/>
        </w:rPr>
        <w:t>2</w:t>
      </w:r>
      <w:r w:rsidRPr="00187A0D">
        <w:rPr>
          <w:rFonts w:ascii="微软雅黑" w:eastAsia="微软雅黑" w:hAnsi="微软雅黑" w:hint="eastAsia"/>
          <w:sz w:val="24"/>
          <w:szCs w:val="28"/>
        </w:rPr>
        <w:t>天（</w:t>
      </w:r>
      <w:r w:rsidRPr="00187A0D">
        <w:rPr>
          <w:rFonts w:ascii="微软雅黑" w:eastAsia="微软雅黑" w:hAnsi="微软雅黑"/>
          <w:sz w:val="24"/>
          <w:szCs w:val="28"/>
        </w:rPr>
        <w:t>12</w:t>
      </w:r>
      <w:r w:rsidRPr="00187A0D">
        <w:rPr>
          <w:rFonts w:ascii="微软雅黑" w:eastAsia="微软雅黑" w:hAnsi="微软雅黑" w:hint="eastAsia"/>
          <w:sz w:val="24"/>
          <w:szCs w:val="28"/>
        </w:rPr>
        <w:t>小时）</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课程形式</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hint="eastAsia"/>
          <w:sz w:val="24"/>
          <w:szCs w:val="28"/>
        </w:rPr>
        <w:t>理论学习</w:t>
      </w:r>
      <w:r w:rsidRPr="00187A0D">
        <w:rPr>
          <w:rFonts w:ascii="微软雅黑" w:eastAsia="微软雅黑" w:hAnsi="微软雅黑"/>
          <w:sz w:val="24"/>
          <w:szCs w:val="28"/>
        </w:rPr>
        <w:t>+</w:t>
      </w:r>
      <w:r w:rsidRPr="00187A0D">
        <w:rPr>
          <w:rFonts w:ascii="微软雅黑" w:eastAsia="微软雅黑" w:hAnsi="微软雅黑" w:hint="eastAsia"/>
          <w:sz w:val="24"/>
          <w:szCs w:val="28"/>
        </w:rPr>
        <w:t>案例分析</w:t>
      </w:r>
      <w:r w:rsidRPr="00187A0D">
        <w:rPr>
          <w:rFonts w:ascii="微软雅黑" w:eastAsia="微软雅黑" w:hAnsi="微软雅黑"/>
          <w:sz w:val="24"/>
          <w:szCs w:val="28"/>
        </w:rPr>
        <w:t>+</w:t>
      </w:r>
      <w:r w:rsidRPr="00187A0D">
        <w:rPr>
          <w:rFonts w:ascii="微软雅黑" w:eastAsia="微软雅黑" w:hAnsi="微软雅黑" w:hint="eastAsia"/>
          <w:sz w:val="24"/>
          <w:szCs w:val="28"/>
        </w:rPr>
        <w:t>工作坊</w:t>
      </w:r>
    </w:p>
    <w:p w:rsidR="00187A0D" w:rsidRDefault="00187A0D" w:rsidP="00187A0D">
      <w:pPr>
        <w:rPr>
          <w:rFonts w:ascii="微软雅黑" w:eastAsia="微软雅黑" w:hAnsi="微软雅黑"/>
          <w:b/>
        </w:rPr>
      </w:pPr>
    </w:p>
    <w:p w:rsidR="00187A0D" w:rsidRDefault="00187A0D"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872CC4" w:rsidRDefault="00872CC4" w:rsidP="00187A0D">
      <w:pPr>
        <w:rPr>
          <w:rFonts w:ascii="微软雅黑" w:eastAsia="微软雅黑" w:hAnsi="微软雅黑"/>
          <w:b/>
          <w:noProof/>
        </w:rPr>
      </w:pPr>
    </w:p>
    <w:p w:rsidR="00187A0D" w:rsidRPr="00187A0D" w:rsidRDefault="00187A0D" w:rsidP="00187A0D">
      <w:pPr>
        <w:rPr>
          <w:rFonts w:ascii="微软雅黑" w:eastAsia="微软雅黑" w:hAnsi="微软雅黑"/>
          <w:b/>
          <w:sz w:val="24"/>
        </w:rPr>
      </w:pPr>
      <w:bookmarkStart w:id="1" w:name="_GoBack"/>
      <w:bookmarkEnd w:id="1"/>
      <w:r w:rsidRPr="00187A0D">
        <w:rPr>
          <w:rFonts w:ascii="微软雅黑" w:eastAsia="微软雅黑" w:hAnsi="微软雅黑" w:hint="eastAsia"/>
          <w:b/>
          <w:sz w:val="24"/>
        </w:rPr>
        <w:lastRenderedPageBreak/>
        <w:t>参考大纲</w:t>
      </w:r>
    </w:p>
    <w:p w:rsidR="00187A0D" w:rsidRPr="00187A0D" w:rsidRDefault="00187A0D" w:rsidP="00187A0D">
      <w:pPr>
        <w:tabs>
          <w:tab w:val="left" w:pos="7434"/>
        </w:tabs>
        <w:jc w:val="left"/>
        <w:rPr>
          <w:rFonts w:ascii="微软雅黑" w:eastAsia="微软雅黑" w:hAnsi="微软雅黑"/>
          <w:b/>
          <w:sz w:val="24"/>
        </w:rPr>
      </w:pPr>
      <w:r w:rsidRPr="00187A0D">
        <w:rPr>
          <w:rFonts w:ascii="微软雅黑" w:eastAsia="微软雅黑" w:hAnsi="微软雅黑" w:hint="eastAsia"/>
          <w:b/>
          <w:sz w:val="24"/>
        </w:rPr>
        <w:t>第一天</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商业思维概述</w:t>
      </w:r>
    </w:p>
    <w:p w:rsidR="001377EE" w:rsidRDefault="001377EE" w:rsidP="000D77DD">
      <w:pPr>
        <w:pStyle w:val="a4"/>
        <w:numPr>
          <w:ilvl w:val="0"/>
          <w:numId w:val="3"/>
        </w:numPr>
        <w:ind w:firstLineChars="0"/>
        <w:rPr>
          <w:rFonts w:ascii="微软雅黑" w:eastAsia="微软雅黑" w:hAnsi="微软雅黑" w:cs="微软雅黑"/>
          <w:sz w:val="24"/>
          <w:szCs w:val="21"/>
        </w:rPr>
      </w:pPr>
      <w:r>
        <w:rPr>
          <w:rFonts w:ascii="微软雅黑" w:eastAsia="微软雅黑" w:hAnsi="微软雅黑" w:cs="微软雅黑" w:hint="eastAsia"/>
          <w:sz w:val="24"/>
          <w:szCs w:val="21"/>
        </w:rPr>
        <w:t>企业成长之路</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创业</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战略</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管理</w:t>
      </w:r>
    </w:p>
    <w:p w:rsidR="001377EE" w:rsidRP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创新</w:t>
      </w:r>
    </w:p>
    <w:p w:rsidR="00187A0D" w:rsidRPr="00187A0D" w:rsidRDefault="00187A0D" w:rsidP="000D77DD">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商业的本质</w:t>
      </w:r>
    </w:p>
    <w:p w:rsidR="00187A0D" w:rsidRPr="00187A0D" w:rsidRDefault="00187A0D" w:rsidP="000D77DD">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定义</w:t>
      </w:r>
    </w:p>
    <w:p w:rsidR="00187A0D" w:rsidRDefault="00187A0D" w:rsidP="001377EE">
      <w:pPr>
        <w:pStyle w:val="a4"/>
        <w:numPr>
          <w:ilvl w:val="1"/>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商业模式画布</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商业模式落地的基础</w:t>
      </w:r>
    </w:p>
    <w:p w:rsidR="001377EE" w:rsidRPr="00187A0D"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商业模式的平衡</w:t>
      </w:r>
    </w:p>
    <w:p w:rsidR="001377EE" w:rsidRDefault="001377EE" w:rsidP="000D77DD">
      <w:pPr>
        <w:pStyle w:val="a4"/>
        <w:numPr>
          <w:ilvl w:val="0"/>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互联网时代的商业模式</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互联网思维的特点</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互联网模式PK传统模式</w:t>
      </w:r>
    </w:p>
    <w:p w:rsidR="001377EE" w:rsidRDefault="001377EE" w:rsidP="001377EE">
      <w:pPr>
        <w:pStyle w:val="a4"/>
        <w:numPr>
          <w:ilvl w:val="0"/>
          <w:numId w:val="3"/>
        </w:numPr>
        <w:tabs>
          <w:tab w:val="left" w:pos="7434"/>
        </w:tabs>
        <w:ind w:firstLineChars="0"/>
        <w:jc w:val="left"/>
        <w:rPr>
          <w:rFonts w:ascii="微软雅黑" w:eastAsia="微软雅黑" w:hAnsi="微软雅黑"/>
          <w:sz w:val="24"/>
        </w:rPr>
      </w:pPr>
      <w:r>
        <w:rPr>
          <w:rFonts w:ascii="微软雅黑" w:eastAsia="微软雅黑" w:hAnsi="微软雅黑"/>
          <w:sz w:val="24"/>
        </w:rPr>
        <w:t>数字化时代的商业模式特征</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多重平台</w:t>
      </w:r>
    </w:p>
    <w:p w:rsid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长尾细分</w:t>
      </w:r>
    </w:p>
    <w:p w:rsidR="001377EE" w:rsidRPr="001377EE" w:rsidRDefault="001377EE" w:rsidP="001377EE">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垂直脱媒</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lastRenderedPageBreak/>
        <w:t>战略与竞争优势</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战略的定义及常见理解误区</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细分市场的竞争优势来源</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低成本战略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差异化战略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集中化战略</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业务发展战略：安索夫矩阵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安索夫矩阵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延伸解读：如何实现两位数增长</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创新发展战略：蓝海战略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顾客价值的概念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如何创造顾客价值</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蓝海战略分析框架</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蓝海战略构建方法</w:t>
      </w:r>
    </w:p>
    <w:p w:rsidR="00187A0D" w:rsidRDefault="00187A0D" w:rsidP="000D77DD">
      <w:pPr>
        <w:numPr>
          <w:ilvl w:val="0"/>
          <w:numId w:val="7"/>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经典战略工具介绍与应用</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bCs/>
          <w:sz w:val="24"/>
          <w:szCs w:val="21"/>
        </w:rPr>
        <w:t>PESTEL</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五力模型</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BCG矩阵</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麦肯锡矩阵</w:t>
      </w:r>
    </w:p>
    <w:p w:rsidR="001377EE" w:rsidRPr="00187A0D"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SWOT分析</w:t>
      </w:r>
    </w:p>
    <w:p w:rsidR="00187A0D" w:rsidRPr="00187A0D" w:rsidRDefault="00187A0D" w:rsidP="000D77DD">
      <w:pPr>
        <w:pStyle w:val="a4"/>
        <w:numPr>
          <w:ilvl w:val="0"/>
          <w:numId w:val="7"/>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小组讨论：市场环境与战略意图设计</w:t>
      </w:r>
    </w:p>
    <w:p w:rsidR="00872CC4" w:rsidRDefault="00872CC4" w:rsidP="00187A0D">
      <w:pPr>
        <w:rPr>
          <w:rFonts w:ascii="微软雅黑" w:eastAsia="微软雅黑" w:hAnsi="微软雅黑"/>
          <w:b/>
          <w:sz w:val="24"/>
        </w:rPr>
      </w:pPr>
    </w:p>
    <w:p w:rsidR="00187A0D" w:rsidRPr="00187A0D" w:rsidRDefault="00187A0D" w:rsidP="00187A0D">
      <w:pPr>
        <w:rPr>
          <w:rFonts w:ascii="微软雅黑" w:eastAsia="微软雅黑" w:hAnsi="微软雅黑"/>
          <w:b/>
          <w:sz w:val="24"/>
        </w:rPr>
      </w:pPr>
      <w:r w:rsidRPr="00187A0D">
        <w:rPr>
          <w:rFonts w:ascii="微软雅黑" w:eastAsia="微软雅黑" w:hAnsi="微软雅黑" w:hint="eastAsia"/>
          <w:b/>
          <w:sz w:val="24"/>
        </w:rPr>
        <w:lastRenderedPageBreak/>
        <w:t>第二天</w:t>
      </w:r>
    </w:p>
    <w:p w:rsidR="00397672" w:rsidRPr="00187A0D" w:rsidRDefault="00397672" w:rsidP="00397672">
      <w:pPr>
        <w:pStyle w:val="a4"/>
        <w:numPr>
          <w:ilvl w:val="0"/>
          <w:numId w:val="13"/>
        </w:numPr>
        <w:tabs>
          <w:tab w:val="left" w:pos="7434"/>
        </w:tabs>
        <w:ind w:firstLineChars="0"/>
        <w:jc w:val="left"/>
        <w:rPr>
          <w:rFonts w:ascii="微软雅黑" w:eastAsia="微软雅黑" w:hAnsi="微软雅黑" w:cs="微软雅黑"/>
          <w:bCs/>
          <w:sz w:val="24"/>
          <w:szCs w:val="21"/>
        </w:rPr>
      </w:pPr>
      <w:r w:rsidRPr="00397672">
        <w:rPr>
          <w:rFonts w:ascii="微软雅黑" w:eastAsia="微软雅黑" w:hAnsi="微软雅黑" w:cs="微软雅黑" w:hint="eastAsia"/>
          <w:bCs/>
          <w:sz w:val="24"/>
          <w:szCs w:val="21"/>
        </w:rPr>
        <w:t>商业领袖的必备素质：洞察趋势</w:t>
      </w:r>
    </w:p>
    <w:p w:rsidR="00397672" w:rsidRPr="009468F6" w:rsidRDefault="009468F6" w:rsidP="00397672">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hint="eastAsia"/>
          <w:bCs/>
          <w:sz w:val="24"/>
          <w:szCs w:val="21"/>
        </w:rPr>
        <w:t>值得关注的趋势</w:t>
      </w:r>
    </w:p>
    <w:p w:rsidR="009468F6" w:rsidRPr="009468F6" w:rsidRDefault="009468F6" w:rsidP="009468F6">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宏观经济环境</w:t>
      </w:r>
    </w:p>
    <w:p w:rsidR="009468F6" w:rsidRPr="009468F6" w:rsidRDefault="009468F6" w:rsidP="009468F6">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企业经营环境</w:t>
      </w:r>
    </w:p>
    <w:p w:rsidR="009468F6" w:rsidRPr="009468F6" w:rsidRDefault="009468F6" w:rsidP="009468F6">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企业内部环境</w:t>
      </w:r>
    </w:p>
    <w:p w:rsidR="009468F6" w:rsidRPr="009468F6" w:rsidRDefault="009468F6" w:rsidP="009468F6">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未来世界的十二个变化趋势</w:t>
      </w:r>
    </w:p>
    <w:p w:rsidR="009468F6" w:rsidRPr="00187A0D" w:rsidRDefault="009468F6" w:rsidP="009468F6">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回归的趋势：不变的需求</w:t>
      </w:r>
    </w:p>
    <w:p w:rsidR="00187A0D" w:rsidRPr="00187A0D" w:rsidRDefault="009468F6" w:rsidP="000D77DD">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hint="eastAsia"/>
          <w:bCs/>
          <w:sz w:val="24"/>
          <w:szCs w:val="21"/>
        </w:rPr>
        <w:t>进阶分析与财务预测</w:t>
      </w:r>
    </w:p>
    <w:p w:rsidR="00187A0D" w:rsidRPr="009468F6" w:rsidRDefault="009468F6" w:rsidP="000D77DD">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hint="eastAsia"/>
          <w:bCs/>
          <w:sz w:val="24"/>
          <w:szCs w:val="21"/>
        </w:rPr>
        <w:t>竞争对手分析</w:t>
      </w:r>
    </w:p>
    <w:p w:rsidR="009468F6" w:rsidRPr="009468F6" w:rsidRDefault="009468F6" w:rsidP="000D77DD">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内部环境分析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标杆对比</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问题树</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雷达图</w:t>
      </w:r>
    </w:p>
    <w:p w:rsidR="009468F6" w:rsidRPr="009468F6"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业务流程分析</w:t>
      </w:r>
    </w:p>
    <w:p w:rsidR="009468F6" w:rsidRPr="009468F6"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协同效应分析</w:t>
      </w:r>
    </w:p>
    <w:p w:rsidR="009468F6" w:rsidRPr="009468F6"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重要财务概念与分析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三大报表</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利润的来源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偿债能力分析</w:t>
      </w:r>
    </w:p>
    <w:p w:rsidR="009468F6" w:rsidRP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营运能力分析</w:t>
      </w:r>
    </w:p>
    <w:p w:rsid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sz w:val="24"/>
        </w:rPr>
        <w:t>盈利能力分析</w:t>
      </w:r>
    </w:p>
    <w:p w:rsidR="009468F6" w:rsidRDefault="009468F6" w:rsidP="009468F6">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sz w:val="24"/>
        </w:rPr>
        <w:lastRenderedPageBreak/>
        <w:t>杜邦分析法</w:t>
      </w:r>
    </w:p>
    <w:p w:rsidR="009468F6" w:rsidRPr="00187A0D" w:rsidRDefault="009468F6" w:rsidP="009468F6">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sz w:val="24"/>
        </w:rPr>
        <w:t>商业分析决策原则</w:t>
      </w:r>
    </w:p>
    <w:p w:rsidR="009468F6" w:rsidRDefault="009468F6" w:rsidP="009468F6">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bCs/>
          <w:sz w:val="24"/>
          <w:szCs w:val="21"/>
        </w:rPr>
        <w:t>从</w:t>
      </w:r>
      <w:r w:rsidRPr="009468F6">
        <w:rPr>
          <w:rFonts w:ascii="微软雅黑" w:eastAsia="微软雅黑" w:hAnsi="微软雅黑" w:cs="微软雅黑" w:hint="eastAsia"/>
          <w:bCs/>
          <w:sz w:val="24"/>
          <w:szCs w:val="21"/>
        </w:rPr>
        <w:t>从战略思考到执行落地</w:t>
      </w:r>
    </w:p>
    <w:p w:rsidR="009468F6" w:rsidRDefault="009468F6" w:rsidP="009468F6">
      <w:pPr>
        <w:numPr>
          <w:ilvl w:val="0"/>
          <w:numId w:val="10"/>
        </w:numPr>
        <w:rPr>
          <w:rFonts w:ascii="微软雅黑" w:eastAsia="微软雅黑" w:hAnsi="微软雅黑" w:cs="微软雅黑"/>
          <w:bCs/>
          <w:sz w:val="24"/>
          <w:szCs w:val="21"/>
        </w:rPr>
      </w:pPr>
      <w:r w:rsidRPr="009468F6">
        <w:rPr>
          <w:rFonts w:ascii="微软雅黑" w:eastAsia="微软雅黑" w:hAnsi="微软雅黑" w:cs="微软雅黑" w:hint="eastAsia"/>
          <w:bCs/>
          <w:sz w:val="24"/>
          <w:szCs w:val="21"/>
        </w:rPr>
        <w:t>BLM模型：从战略设计到执行的工具</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BLM模型概述</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左侧：战略规划与设计</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业绩差距与机会差距</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差距分析的方法与产出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市场洞察的方法与产出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战略意图规划</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愿景</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战略目标</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近期目标</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创新焦点</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未来业务组合</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创新模式</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业务设计</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客户选择</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价值主张</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价值获得</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活动范围</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持续增值</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风险管理</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右侧：战略执行</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关键任务</w:t>
      </w:r>
    </w:p>
    <w:p w:rsidR="00CC1922" w:rsidRDefault="00CC1922" w:rsidP="00CC1922">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支撑业务设计的关键任务的识别</w:t>
      </w:r>
    </w:p>
    <w:p w:rsidR="009468F6" w:rsidRDefault="00CC1922"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检验关键任务的倚赖关系</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规划正式组织</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设计人才战略</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塑造文化与组织氛围</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战略一致性的检验与障碍消除</w:t>
      </w:r>
    </w:p>
    <w:p w:rsidR="00CC1922" w:rsidRDefault="00CC1922" w:rsidP="00CC1922">
      <w:pPr>
        <w:numPr>
          <w:ilvl w:val="0"/>
          <w:numId w:val="10"/>
        </w:numPr>
        <w:rPr>
          <w:rFonts w:ascii="微软雅黑" w:eastAsia="微软雅黑" w:hAnsi="微软雅黑" w:cs="微软雅黑"/>
          <w:bCs/>
          <w:sz w:val="24"/>
          <w:szCs w:val="21"/>
        </w:rPr>
      </w:pPr>
      <w:r>
        <w:rPr>
          <w:rFonts w:ascii="微软雅黑" w:eastAsia="微软雅黑" w:hAnsi="微软雅黑" w:cs="微软雅黑"/>
          <w:bCs/>
          <w:sz w:val="24"/>
          <w:szCs w:val="21"/>
        </w:rPr>
        <w:t>企业经营的双循环启示</w:t>
      </w:r>
    </w:p>
    <w:p w:rsidR="007E7F91" w:rsidRPr="00187A0D" w:rsidRDefault="007E7F91" w:rsidP="007E7F91">
      <w:pPr>
        <w:pStyle w:val="a4"/>
        <w:numPr>
          <w:ilvl w:val="0"/>
          <w:numId w:val="13"/>
        </w:numPr>
        <w:tabs>
          <w:tab w:val="left" w:pos="7434"/>
        </w:tabs>
        <w:ind w:firstLineChars="0"/>
        <w:jc w:val="left"/>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战略执行的基石</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人才运用与评估</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战略性人才标准</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前瞻性人才盘点</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塑造绩效文化</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战略目标的伞形分解</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平衡计分卡概念</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bCs/>
          <w:sz w:val="24"/>
          <w:szCs w:val="21"/>
        </w:rPr>
        <w:t>KPI</w:t>
      </w:r>
      <w:r w:rsidRPr="007E0B6E">
        <w:rPr>
          <w:rFonts w:ascii="微软雅黑" w:eastAsia="微软雅黑" w:hAnsi="微软雅黑" w:cs="微软雅黑" w:hint="eastAsia"/>
          <w:bCs/>
          <w:sz w:val="24"/>
          <w:szCs w:val="21"/>
        </w:rPr>
        <w:t>与</w:t>
      </w:r>
      <w:r w:rsidRPr="007E0B6E">
        <w:rPr>
          <w:rFonts w:ascii="微软雅黑" w:eastAsia="微软雅黑" w:hAnsi="微软雅黑" w:cs="微软雅黑"/>
          <w:bCs/>
          <w:sz w:val="24"/>
          <w:szCs w:val="21"/>
        </w:rPr>
        <w:t>OKR</w:t>
      </w:r>
      <w:r>
        <w:rPr>
          <w:rFonts w:ascii="微软雅黑" w:eastAsia="微软雅黑" w:hAnsi="微软雅黑" w:cs="微软雅黑" w:hint="eastAsia"/>
          <w:bCs/>
          <w:sz w:val="24"/>
          <w:szCs w:val="21"/>
        </w:rPr>
        <w:t>的平衡</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建立绩效管理的完整循环</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领导力</w:t>
      </w:r>
    </w:p>
    <w:p w:rsidR="007E7F91" w:rsidRDefault="007E7F91" w:rsidP="007E7F91">
      <w:pPr>
        <w:numPr>
          <w:ilvl w:val="1"/>
          <w:numId w:val="12"/>
        </w:numPr>
        <w:rPr>
          <w:rFonts w:ascii="微软雅黑" w:eastAsia="微软雅黑" w:hAnsi="微软雅黑" w:cs="微软雅黑"/>
          <w:bCs/>
          <w:sz w:val="24"/>
          <w:szCs w:val="21"/>
        </w:rPr>
      </w:pPr>
      <w:r>
        <w:rPr>
          <w:rFonts w:ascii="微软雅黑" w:eastAsia="微软雅黑" w:hAnsi="微软雅黑" w:cs="微软雅黑" w:hint="eastAsia"/>
          <w:bCs/>
          <w:sz w:val="24"/>
          <w:szCs w:val="21"/>
        </w:rPr>
        <w:t>领导力如何影响经营业绩</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以领导力风格驱动战略决策与规划落地</w:t>
      </w:r>
    </w:p>
    <w:sectPr w:rsidR="007E7F91" w:rsidRPr="007E0B6E" w:rsidSect="00D24253">
      <w:footerReference w:type="default" r:id="rId8"/>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1CDC" w:rsidRDefault="00BA1CDC" w:rsidP="00D24253">
      <w:r>
        <w:separator/>
      </w:r>
    </w:p>
  </w:endnote>
  <w:endnote w:type="continuationSeparator" w:id="0">
    <w:p w:rsidR="00BA1CDC" w:rsidRDefault="00BA1CDC"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97429C" w:rsidRPr="0097429C">
          <w:rPr>
            <w:noProof/>
            <w:lang w:val="zh-CN"/>
          </w:rPr>
          <w:t>7</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1CDC" w:rsidRDefault="00BA1CDC" w:rsidP="00D24253">
      <w:r>
        <w:separator/>
      </w:r>
    </w:p>
  </w:footnote>
  <w:footnote w:type="continuationSeparator" w:id="0">
    <w:p w:rsidR="00BA1CDC" w:rsidRDefault="00BA1CDC"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2">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1934F2"/>
    <w:multiLevelType w:val="hybridMultilevel"/>
    <w:tmpl w:val="FE5A59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5">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1"/>
  </w:num>
  <w:num w:numId="3">
    <w:abstractNumId w:val="43"/>
  </w:num>
  <w:num w:numId="4">
    <w:abstractNumId w:val="10"/>
  </w:num>
  <w:num w:numId="5">
    <w:abstractNumId w:val="57"/>
  </w:num>
  <w:num w:numId="6">
    <w:abstractNumId w:val="45"/>
  </w:num>
  <w:num w:numId="7">
    <w:abstractNumId w:val="16"/>
  </w:num>
  <w:num w:numId="8">
    <w:abstractNumId w:val="89"/>
  </w:num>
  <w:num w:numId="9">
    <w:abstractNumId w:val="68"/>
  </w:num>
  <w:num w:numId="10">
    <w:abstractNumId w:val="32"/>
  </w:num>
  <w:num w:numId="11">
    <w:abstractNumId w:val="14"/>
  </w:num>
  <w:num w:numId="12">
    <w:abstractNumId w:val="35"/>
  </w:num>
  <w:num w:numId="13">
    <w:abstractNumId w:val="53"/>
  </w:num>
  <w:num w:numId="14">
    <w:abstractNumId w:val="94"/>
  </w:num>
  <w:num w:numId="15">
    <w:abstractNumId w:val="88"/>
  </w:num>
  <w:num w:numId="16">
    <w:abstractNumId w:val="86"/>
  </w:num>
  <w:num w:numId="17">
    <w:abstractNumId w:val="98"/>
  </w:num>
  <w:num w:numId="18">
    <w:abstractNumId w:val="2"/>
  </w:num>
  <w:num w:numId="19">
    <w:abstractNumId w:val="18"/>
  </w:num>
  <w:num w:numId="20">
    <w:abstractNumId w:val="9"/>
  </w:num>
  <w:num w:numId="21">
    <w:abstractNumId w:val="77"/>
  </w:num>
  <w:num w:numId="22">
    <w:abstractNumId w:val="11"/>
  </w:num>
  <w:num w:numId="23">
    <w:abstractNumId w:val="25"/>
  </w:num>
  <w:num w:numId="24">
    <w:abstractNumId w:val="34"/>
  </w:num>
  <w:num w:numId="25">
    <w:abstractNumId w:val="60"/>
  </w:num>
  <w:num w:numId="26">
    <w:abstractNumId w:val="65"/>
  </w:num>
  <w:num w:numId="27">
    <w:abstractNumId w:val="76"/>
  </w:num>
  <w:num w:numId="28">
    <w:abstractNumId w:val="50"/>
  </w:num>
  <w:num w:numId="29">
    <w:abstractNumId w:val="58"/>
  </w:num>
  <w:num w:numId="30">
    <w:abstractNumId w:val="20"/>
  </w:num>
  <w:num w:numId="31">
    <w:abstractNumId w:val="8"/>
  </w:num>
  <w:num w:numId="32">
    <w:abstractNumId w:val="69"/>
  </w:num>
  <w:num w:numId="33">
    <w:abstractNumId w:val="26"/>
  </w:num>
  <w:num w:numId="34">
    <w:abstractNumId w:val="56"/>
  </w:num>
  <w:num w:numId="35">
    <w:abstractNumId w:val="39"/>
  </w:num>
  <w:num w:numId="36">
    <w:abstractNumId w:val="31"/>
  </w:num>
  <w:num w:numId="37">
    <w:abstractNumId w:val="81"/>
  </w:num>
  <w:num w:numId="38">
    <w:abstractNumId w:val="37"/>
  </w:num>
  <w:num w:numId="39">
    <w:abstractNumId w:val="93"/>
  </w:num>
  <w:num w:numId="40">
    <w:abstractNumId w:val="90"/>
  </w:num>
  <w:num w:numId="41">
    <w:abstractNumId w:val="15"/>
  </w:num>
  <w:num w:numId="42">
    <w:abstractNumId w:val="24"/>
  </w:num>
  <w:num w:numId="43">
    <w:abstractNumId w:val="85"/>
  </w:num>
  <w:num w:numId="44">
    <w:abstractNumId w:val="40"/>
  </w:num>
  <w:num w:numId="45">
    <w:abstractNumId w:val="87"/>
  </w:num>
  <w:num w:numId="46">
    <w:abstractNumId w:val="41"/>
  </w:num>
  <w:num w:numId="47">
    <w:abstractNumId w:val="27"/>
  </w:num>
  <w:num w:numId="48">
    <w:abstractNumId w:val="84"/>
  </w:num>
  <w:num w:numId="49">
    <w:abstractNumId w:val="6"/>
  </w:num>
  <w:num w:numId="50">
    <w:abstractNumId w:val="33"/>
  </w:num>
  <w:num w:numId="51">
    <w:abstractNumId w:val="73"/>
  </w:num>
  <w:num w:numId="52">
    <w:abstractNumId w:val="3"/>
  </w:num>
  <w:num w:numId="53">
    <w:abstractNumId w:val="64"/>
  </w:num>
  <w:num w:numId="54">
    <w:abstractNumId w:val="96"/>
  </w:num>
  <w:num w:numId="55">
    <w:abstractNumId w:val="22"/>
  </w:num>
  <w:num w:numId="56">
    <w:abstractNumId w:val="48"/>
  </w:num>
  <w:num w:numId="57">
    <w:abstractNumId w:val="44"/>
  </w:num>
  <w:num w:numId="58">
    <w:abstractNumId w:val="55"/>
  </w:num>
  <w:num w:numId="59">
    <w:abstractNumId w:val="92"/>
  </w:num>
  <w:num w:numId="60">
    <w:abstractNumId w:val="5"/>
  </w:num>
  <w:num w:numId="61">
    <w:abstractNumId w:val="78"/>
  </w:num>
  <w:num w:numId="62">
    <w:abstractNumId w:val="4"/>
  </w:num>
  <w:num w:numId="63">
    <w:abstractNumId w:val="63"/>
  </w:num>
  <w:num w:numId="64">
    <w:abstractNumId w:val="67"/>
  </w:num>
  <w:num w:numId="65">
    <w:abstractNumId w:val="59"/>
  </w:num>
  <w:num w:numId="66">
    <w:abstractNumId w:val="80"/>
  </w:num>
  <w:num w:numId="67">
    <w:abstractNumId w:val="62"/>
  </w:num>
  <w:num w:numId="68">
    <w:abstractNumId w:val="0"/>
  </w:num>
  <w:num w:numId="69">
    <w:abstractNumId w:val="19"/>
  </w:num>
  <w:num w:numId="70">
    <w:abstractNumId w:val="79"/>
  </w:num>
  <w:num w:numId="71">
    <w:abstractNumId w:val="36"/>
  </w:num>
  <w:num w:numId="72">
    <w:abstractNumId w:val="42"/>
  </w:num>
  <w:num w:numId="73">
    <w:abstractNumId w:val="75"/>
  </w:num>
  <w:num w:numId="74">
    <w:abstractNumId w:val="52"/>
  </w:num>
  <w:num w:numId="75">
    <w:abstractNumId w:val="17"/>
  </w:num>
  <w:num w:numId="76">
    <w:abstractNumId w:val="83"/>
  </w:num>
  <w:num w:numId="77">
    <w:abstractNumId w:val="29"/>
  </w:num>
  <w:num w:numId="78">
    <w:abstractNumId w:val="72"/>
  </w:num>
  <w:num w:numId="79">
    <w:abstractNumId w:val="23"/>
  </w:num>
  <w:num w:numId="80">
    <w:abstractNumId w:val="71"/>
  </w:num>
  <w:num w:numId="81">
    <w:abstractNumId w:val="82"/>
  </w:num>
  <w:num w:numId="82">
    <w:abstractNumId w:val="1"/>
  </w:num>
  <w:num w:numId="83">
    <w:abstractNumId w:val="30"/>
  </w:num>
  <w:num w:numId="84">
    <w:abstractNumId w:val="74"/>
  </w:num>
  <w:num w:numId="85">
    <w:abstractNumId w:val="38"/>
  </w:num>
  <w:num w:numId="86">
    <w:abstractNumId w:val="61"/>
  </w:num>
  <w:num w:numId="87">
    <w:abstractNumId w:val="97"/>
  </w:num>
  <w:num w:numId="88">
    <w:abstractNumId w:val="28"/>
  </w:num>
  <w:num w:numId="89">
    <w:abstractNumId w:val="7"/>
  </w:num>
  <w:num w:numId="90">
    <w:abstractNumId w:val="70"/>
  </w:num>
  <w:num w:numId="91">
    <w:abstractNumId w:val="47"/>
  </w:num>
  <w:num w:numId="92">
    <w:abstractNumId w:val="95"/>
  </w:num>
  <w:num w:numId="93">
    <w:abstractNumId w:val="46"/>
  </w:num>
  <w:num w:numId="94">
    <w:abstractNumId w:val="13"/>
  </w:num>
  <w:num w:numId="95">
    <w:abstractNumId w:val="54"/>
  </w:num>
  <w:num w:numId="96">
    <w:abstractNumId w:val="66"/>
  </w:num>
  <w:num w:numId="97">
    <w:abstractNumId w:val="21"/>
  </w:num>
  <w:num w:numId="98">
    <w:abstractNumId w:val="51"/>
  </w:num>
  <w:num w:numId="99">
    <w:abstractNumId w:val="4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61339"/>
    <w:rsid w:val="000868F1"/>
    <w:rsid w:val="000B715D"/>
    <w:rsid w:val="000D77DD"/>
    <w:rsid w:val="000D7DCC"/>
    <w:rsid w:val="000E5793"/>
    <w:rsid w:val="00113E07"/>
    <w:rsid w:val="00122519"/>
    <w:rsid w:val="001377EE"/>
    <w:rsid w:val="00146529"/>
    <w:rsid w:val="00155E6A"/>
    <w:rsid w:val="001770CD"/>
    <w:rsid w:val="00187A0D"/>
    <w:rsid w:val="001D31BA"/>
    <w:rsid w:val="001E3103"/>
    <w:rsid w:val="00205BB7"/>
    <w:rsid w:val="00240609"/>
    <w:rsid w:val="0026122B"/>
    <w:rsid w:val="002B10B9"/>
    <w:rsid w:val="002B1B22"/>
    <w:rsid w:val="002C760B"/>
    <w:rsid w:val="002E2B59"/>
    <w:rsid w:val="00320DF6"/>
    <w:rsid w:val="00353A1F"/>
    <w:rsid w:val="0036177E"/>
    <w:rsid w:val="00366007"/>
    <w:rsid w:val="00375718"/>
    <w:rsid w:val="00397672"/>
    <w:rsid w:val="003D4C14"/>
    <w:rsid w:val="00403B0E"/>
    <w:rsid w:val="00432013"/>
    <w:rsid w:val="00485DBF"/>
    <w:rsid w:val="004979D6"/>
    <w:rsid w:val="004A0824"/>
    <w:rsid w:val="004D2FE7"/>
    <w:rsid w:val="004D726B"/>
    <w:rsid w:val="005313AA"/>
    <w:rsid w:val="00535D4E"/>
    <w:rsid w:val="00571024"/>
    <w:rsid w:val="0059647E"/>
    <w:rsid w:val="00622104"/>
    <w:rsid w:val="006339D8"/>
    <w:rsid w:val="00783D3D"/>
    <w:rsid w:val="00794A08"/>
    <w:rsid w:val="007A6149"/>
    <w:rsid w:val="007C0CB6"/>
    <w:rsid w:val="007E7F91"/>
    <w:rsid w:val="00852A9B"/>
    <w:rsid w:val="00872CC4"/>
    <w:rsid w:val="00880EB7"/>
    <w:rsid w:val="008B6A8E"/>
    <w:rsid w:val="008F0C1F"/>
    <w:rsid w:val="009154D8"/>
    <w:rsid w:val="0094294B"/>
    <w:rsid w:val="009467E4"/>
    <w:rsid w:val="009468F6"/>
    <w:rsid w:val="00960BEB"/>
    <w:rsid w:val="00970B01"/>
    <w:rsid w:val="0097429C"/>
    <w:rsid w:val="00986714"/>
    <w:rsid w:val="00986FBE"/>
    <w:rsid w:val="009F40A3"/>
    <w:rsid w:val="00A1505D"/>
    <w:rsid w:val="00A34A25"/>
    <w:rsid w:val="00A36BA1"/>
    <w:rsid w:val="00A4150E"/>
    <w:rsid w:val="00A42495"/>
    <w:rsid w:val="00A43973"/>
    <w:rsid w:val="00A4784C"/>
    <w:rsid w:val="00A92A24"/>
    <w:rsid w:val="00AE5A0E"/>
    <w:rsid w:val="00AF1FA1"/>
    <w:rsid w:val="00B07653"/>
    <w:rsid w:val="00B372F2"/>
    <w:rsid w:val="00B57503"/>
    <w:rsid w:val="00B94AA9"/>
    <w:rsid w:val="00BA1CDC"/>
    <w:rsid w:val="00C1268C"/>
    <w:rsid w:val="00C31FC0"/>
    <w:rsid w:val="00C361FA"/>
    <w:rsid w:val="00C362EB"/>
    <w:rsid w:val="00C53C41"/>
    <w:rsid w:val="00C6699A"/>
    <w:rsid w:val="00CA3FD5"/>
    <w:rsid w:val="00CA4F95"/>
    <w:rsid w:val="00CA6D24"/>
    <w:rsid w:val="00CB38FD"/>
    <w:rsid w:val="00CC1922"/>
    <w:rsid w:val="00CD7E92"/>
    <w:rsid w:val="00D24253"/>
    <w:rsid w:val="00D37942"/>
    <w:rsid w:val="00D95DAA"/>
    <w:rsid w:val="00DB4250"/>
    <w:rsid w:val="00E33C71"/>
    <w:rsid w:val="00E35EB0"/>
    <w:rsid w:val="00E62542"/>
    <w:rsid w:val="00E82DFA"/>
    <w:rsid w:val="00E91A9C"/>
    <w:rsid w:val="00EA4913"/>
    <w:rsid w:val="00EB3956"/>
    <w:rsid w:val="00EC2A24"/>
    <w:rsid w:val="00ED6F83"/>
    <w:rsid w:val="00F0376F"/>
    <w:rsid w:val="00F354E0"/>
    <w:rsid w:val="00F676AF"/>
    <w:rsid w:val="00F76E69"/>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CA3BC2-D412-4BF2-BF61-C08A2F431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7</Pages>
  <Words>216</Words>
  <Characters>1235</Characters>
  <Application>Microsoft Office Word</Application>
  <DocSecurity>0</DocSecurity>
  <Lines>10</Lines>
  <Paragraphs>2</Paragraphs>
  <ScaleCrop>false</ScaleCrop>
  <Company>Win10NeT.COM</Company>
  <LinksUpToDate>false</LinksUpToDate>
  <CharactersWithSpaces>1449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2019-02-21T04:47:00Z</dcterms:created>
  <dcterms:modified xsi:type="dcterms:W3CDTF">2020-10-28T03:12:00Z</dcterms:modified>
</cp:coreProperties>
</file>