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60" w:lineRule="exact"/>
        <w:jc w:val="center"/>
        <w:rPr>
          <w:rFonts w:ascii="微软雅黑" w:hAnsi="微软雅黑" w:eastAsia="微软雅黑" w:cs="微软雅黑"/>
          <w:b/>
          <w:bCs/>
          <w:color w:val="1F4E79"/>
          <w:spacing w:val="1"/>
          <w:w w:val="105"/>
          <w:sz w:val="32"/>
          <w:szCs w:val="32"/>
        </w:rPr>
      </w:pPr>
      <w:r>
        <w:rPr>
          <w:rFonts w:hint="eastAsia" w:ascii="微软雅黑" w:hAnsi="微软雅黑" w:eastAsia="微软雅黑" w:cs="微软雅黑"/>
          <w:b/>
          <w:bCs/>
          <w:color w:val="1F4E79"/>
          <w:spacing w:val="1"/>
          <w:w w:val="105"/>
          <w:sz w:val="32"/>
          <w:szCs w:val="32"/>
        </w:rPr>
        <w:t>践行安全领导力</w:t>
      </w:r>
    </w:p>
    <w:p>
      <w:pPr>
        <w:spacing w:after="0" w:line="460" w:lineRule="exact"/>
        <w:jc w:val="right"/>
        <w:rPr>
          <w:rFonts w:ascii="微软雅黑" w:hAnsi="微软雅黑" w:eastAsia="微软雅黑" w:cs="微软雅黑"/>
          <w:b/>
          <w:bCs/>
          <w:color w:val="1F4E79"/>
          <w:spacing w:val="1"/>
          <w:w w:val="105"/>
          <w:sz w:val="32"/>
          <w:szCs w:val="32"/>
        </w:rPr>
      </w:pPr>
      <w:r>
        <w:rPr>
          <w:rFonts w:hint="eastAsia" w:ascii="微软雅黑" w:hAnsi="微软雅黑" w:eastAsia="微软雅黑" w:cs="微软雅黑"/>
          <w:b/>
          <w:bCs/>
          <w:color w:val="1F4E79"/>
          <w:spacing w:val="1"/>
          <w:w w:val="105"/>
          <w:sz w:val="32"/>
          <w:szCs w:val="32"/>
        </w:rPr>
        <w:t>--做好EHS主管</w:t>
      </w:r>
    </w:p>
    <w:p>
      <w:pPr>
        <w:spacing w:after="0" w:line="460" w:lineRule="exact"/>
        <w:jc w:val="center"/>
        <w:rPr>
          <w:rFonts w:ascii="微软雅黑" w:hAnsi="微软雅黑" w:eastAsia="微软雅黑" w:cs="微软雅黑"/>
          <w:b/>
          <w:bCs/>
          <w:color w:val="1F4E79"/>
          <w:spacing w:val="1"/>
          <w:w w:val="105"/>
          <w:sz w:val="32"/>
          <w:szCs w:val="32"/>
        </w:rPr>
      </w:pPr>
    </w:p>
    <w:p>
      <w:pPr>
        <w:spacing w:after="0" w:line="460" w:lineRule="exact"/>
        <w:rPr>
          <w:rFonts w:ascii="微软雅黑" w:hAnsi="微软雅黑" w:eastAsia="微软雅黑" w:cs="微软雅黑"/>
          <w:b/>
          <w:bCs/>
          <w:color w:val="1F4E79"/>
          <w:spacing w:val="1"/>
          <w:w w:val="105"/>
          <w:sz w:val="24"/>
          <w:szCs w:val="24"/>
        </w:rPr>
      </w:pPr>
      <w:r>
        <w:rPr>
          <w:rFonts w:hint="eastAsia" w:ascii="微软雅黑" w:hAnsi="微软雅黑" w:eastAsia="微软雅黑" w:cs="微软雅黑"/>
          <w:b/>
          <w:bCs/>
          <w:color w:val="1F4E79"/>
          <w:spacing w:val="1"/>
          <w:w w:val="105"/>
          <w:sz w:val="24"/>
          <w:szCs w:val="24"/>
        </w:rPr>
        <w:t>课程背景：</w:t>
      </w:r>
    </w:p>
    <w:p>
      <w:pPr>
        <w:spacing w:after="0" w:line="460" w:lineRule="exact"/>
        <w:rPr>
          <w:rFonts w:ascii="微软雅黑" w:hAnsi="微软雅黑" w:eastAsia="微软雅黑" w:cs="Times New Roman"/>
          <w:sz w:val="24"/>
          <w:szCs w:val="24"/>
        </w:rPr>
      </w:pPr>
      <w:r>
        <w:rPr>
          <w:rFonts w:hint="eastAsia" w:ascii="微软雅黑" w:hAnsi="微软雅黑" w:eastAsia="微软雅黑" w:cs="Times New Roman"/>
          <w:sz w:val="24"/>
          <w:szCs w:val="24"/>
        </w:rPr>
        <w:t>近年来,我国生产安全事故频繁发生,伤亡事故居高不下。根据有关统计资料，我国的安全生产事故中有90%是由人的违章作业，冒险作业等不安全行为造成的。员工出现不安全行为有自身安全意识薄弱、安全知识欠缺等个人的安全素质问题，也有因为急躁、丧气、疲劳、自满而引发错误导致伤害事件。管理者如何管理员工，培育员工，践行安全领导者的职责，“会管理、管的住、管的好”是很多管理者面临的课题。</w:t>
      </w:r>
    </w:p>
    <w:p>
      <w:pPr>
        <w:spacing w:after="0" w:line="460" w:lineRule="exact"/>
        <w:rPr>
          <w:rFonts w:ascii="微软雅黑" w:hAnsi="微软雅黑" w:eastAsia="微软雅黑" w:cs="Times New Roman"/>
          <w:sz w:val="24"/>
          <w:szCs w:val="24"/>
        </w:rPr>
      </w:pPr>
      <w:r>
        <w:rPr>
          <w:rFonts w:hint="eastAsia" w:ascii="微软雅黑" w:hAnsi="微软雅黑" w:eastAsia="微软雅黑" w:cs="Times New Roman"/>
          <w:sz w:val="24"/>
          <w:szCs w:val="24"/>
        </w:rPr>
        <w:t>所以我们特此开发此《安全领导力》课程。从企业安全管理人员的角色认知和理念转变方面展开，结合企业安全管理人员和最高管理者必须了解的几个企业管理的工具和知识进行深入的展开和讲述。提高企业管理管理人员和企业的最高管理者的安全意识和他们在管理中所应该掌握的知识和工具的理解和应用。使得安全管理工作更易落实，把“预防为主，安全第一”真正放在管理的首位。</w:t>
      </w:r>
    </w:p>
    <w:p>
      <w:pPr>
        <w:spacing w:after="0" w:line="460" w:lineRule="exact"/>
        <w:rPr>
          <w:rFonts w:ascii="微软雅黑" w:hAnsi="微软雅黑" w:eastAsia="微软雅黑" w:cs="微软雅黑"/>
          <w:b/>
          <w:bCs/>
          <w:color w:val="1F4E79"/>
          <w:spacing w:val="1"/>
          <w:w w:val="105"/>
          <w:sz w:val="24"/>
          <w:szCs w:val="24"/>
        </w:rPr>
      </w:pPr>
    </w:p>
    <w:p>
      <w:pPr>
        <w:spacing w:after="0" w:line="460" w:lineRule="exact"/>
        <w:rPr>
          <w:rFonts w:ascii="微软雅黑" w:hAnsi="微软雅黑" w:eastAsia="微软雅黑" w:cs="微软雅黑"/>
          <w:b/>
          <w:bCs/>
          <w:color w:val="1F4E79"/>
          <w:spacing w:val="1"/>
          <w:w w:val="105"/>
          <w:sz w:val="24"/>
          <w:szCs w:val="24"/>
        </w:rPr>
      </w:pPr>
      <w:r>
        <w:rPr>
          <w:rFonts w:hint="eastAsia" w:ascii="微软雅黑" w:hAnsi="微软雅黑" w:eastAsia="微软雅黑" w:cs="微软雅黑"/>
          <w:b/>
          <w:bCs/>
          <w:color w:val="1F4E79"/>
          <w:spacing w:val="1"/>
          <w:w w:val="105"/>
          <w:sz w:val="24"/>
          <w:szCs w:val="24"/>
        </w:rPr>
        <w:t>课程收益：</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提升管理层的安全意识和安全执行力，</w:t>
      </w:r>
      <w:r>
        <w:rPr>
          <w:rFonts w:ascii="微软雅黑" w:hAnsi="微软雅黑" w:eastAsia="微软雅黑" w:cs="Times New Roman"/>
          <w:sz w:val="24"/>
          <w:szCs w:val="24"/>
        </w:rPr>
        <w:t>让学员形成人人都是安全领导者的理念</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学会</w:t>
      </w:r>
      <w:r>
        <w:rPr>
          <w:rFonts w:ascii="微软雅黑" w:hAnsi="微软雅黑" w:eastAsia="微软雅黑" w:cs="Times New Roman"/>
          <w:sz w:val="24"/>
          <w:szCs w:val="24"/>
        </w:rPr>
        <w:t>用过程方法识别</w:t>
      </w:r>
      <w:r>
        <w:rPr>
          <w:rFonts w:hint="eastAsia" w:ascii="微软雅黑" w:hAnsi="微软雅黑" w:eastAsia="微软雅黑" w:cs="Times New Roman"/>
          <w:sz w:val="24"/>
          <w:szCs w:val="24"/>
        </w:rPr>
        <w:t>危险源</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学会</w:t>
      </w:r>
      <w:r>
        <w:rPr>
          <w:rFonts w:ascii="微软雅黑" w:hAnsi="微软雅黑" w:eastAsia="微软雅黑" w:cs="Times New Roman"/>
          <w:sz w:val="24"/>
          <w:szCs w:val="24"/>
        </w:rPr>
        <w:t>危险源的</w:t>
      </w:r>
      <w:r>
        <w:rPr>
          <w:rFonts w:hint="eastAsia" w:ascii="微软雅黑" w:hAnsi="微软雅黑" w:eastAsia="微软雅黑" w:cs="Times New Roman"/>
          <w:sz w:val="24"/>
          <w:szCs w:val="24"/>
        </w:rPr>
        <w:t>评价</w:t>
      </w:r>
      <w:r>
        <w:rPr>
          <w:rFonts w:ascii="微软雅黑" w:hAnsi="微软雅黑" w:eastAsia="微软雅黑" w:cs="Times New Roman"/>
          <w:sz w:val="24"/>
          <w:szCs w:val="24"/>
        </w:rPr>
        <w:t>以及管理和风险控制</w:t>
      </w:r>
      <w:r>
        <w:rPr>
          <w:rFonts w:hint="eastAsia" w:ascii="微软雅黑" w:hAnsi="微软雅黑" w:eastAsia="微软雅黑" w:cs="Times New Roman"/>
          <w:sz w:val="24"/>
          <w:szCs w:val="24"/>
        </w:rPr>
        <w:t>的</w:t>
      </w:r>
      <w:r>
        <w:rPr>
          <w:rFonts w:ascii="微软雅黑" w:hAnsi="微软雅黑" w:eastAsia="微软雅黑" w:cs="Times New Roman"/>
          <w:sz w:val="24"/>
          <w:szCs w:val="24"/>
        </w:rPr>
        <w:t>思路和方法</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让学员</w:t>
      </w:r>
      <w:r>
        <w:rPr>
          <w:rFonts w:ascii="微软雅黑" w:hAnsi="微软雅黑" w:eastAsia="微软雅黑" w:cs="Times New Roman"/>
          <w:sz w:val="24"/>
          <w:szCs w:val="24"/>
        </w:rPr>
        <w:t>学会以下</w:t>
      </w:r>
      <w:r>
        <w:rPr>
          <w:rFonts w:hint="eastAsia" w:ascii="微软雅黑" w:hAnsi="微软雅黑" w:eastAsia="微软雅黑" w:cs="Times New Roman"/>
          <w:sz w:val="24"/>
          <w:szCs w:val="24"/>
        </w:rPr>
        <w:t>管理</w:t>
      </w:r>
      <w:r>
        <w:rPr>
          <w:rFonts w:ascii="微软雅黑" w:hAnsi="微软雅黑" w:eastAsia="微软雅黑" w:cs="Times New Roman"/>
          <w:sz w:val="24"/>
          <w:szCs w:val="24"/>
        </w:rPr>
        <w:t>内容的控制要点，</w:t>
      </w:r>
      <w:r>
        <w:rPr>
          <w:rFonts w:hint="eastAsia" w:ascii="微软雅黑" w:hAnsi="微软雅黑" w:eastAsia="微软雅黑" w:cs="Times New Roman"/>
          <w:sz w:val="24"/>
          <w:szCs w:val="24"/>
        </w:rPr>
        <w:t>抓要点</w:t>
      </w:r>
      <w:r>
        <w:rPr>
          <w:rFonts w:ascii="微软雅黑" w:hAnsi="微软雅黑" w:eastAsia="微软雅黑" w:cs="Times New Roman"/>
          <w:sz w:val="24"/>
          <w:szCs w:val="24"/>
        </w:rPr>
        <w:t>，</w:t>
      </w:r>
      <w:r>
        <w:rPr>
          <w:rFonts w:hint="eastAsia" w:ascii="微软雅黑" w:hAnsi="微软雅黑" w:eastAsia="微软雅黑" w:cs="Times New Roman"/>
          <w:sz w:val="24"/>
          <w:szCs w:val="24"/>
        </w:rPr>
        <w:t>会管理</w:t>
      </w:r>
      <w:r>
        <w:rPr>
          <w:rFonts w:ascii="微软雅黑" w:hAnsi="微软雅黑" w:eastAsia="微软雅黑" w:cs="Times New Roman"/>
          <w:sz w:val="24"/>
          <w:szCs w:val="24"/>
        </w:rPr>
        <w:t>，能管理</w:t>
      </w:r>
    </w:p>
    <w:p>
      <w:pPr>
        <w:pStyle w:val="12"/>
        <w:numPr>
          <w:ilvl w:val="1"/>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目视化安全管理和5S及现场标识</w:t>
      </w:r>
    </w:p>
    <w:p>
      <w:pPr>
        <w:pStyle w:val="12"/>
        <w:numPr>
          <w:ilvl w:val="1"/>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能源控制和动力</w:t>
      </w:r>
      <w:r>
        <w:rPr>
          <w:rFonts w:ascii="微软雅黑" w:hAnsi="微软雅黑" w:eastAsia="微软雅黑" w:cs="Times New Roman"/>
          <w:sz w:val="24"/>
          <w:szCs w:val="24"/>
        </w:rPr>
        <w:t>上锁（LOTO+）</w:t>
      </w:r>
    </w:p>
    <w:p>
      <w:pPr>
        <w:pStyle w:val="12"/>
        <w:numPr>
          <w:ilvl w:val="1"/>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危险化学品</w:t>
      </w:r>
      <w:r>
        <w:rPr>
          <w:rFonts w:ascii="微软雅黑" w:hAnsi="微软雅黑" w:eastAsia="微软雅黑" w:cs="Times New Roman"/>
          <w:sz w:val="24"/>
          <w:szCs w:val="24"/>
        </w:rPr>
        <w:t>管理</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学会应急准备和响应一般流程，</w:t>
      </w:r>
      <w:r>
        <w:rPr>
          <w:rFonts w:ascii="微软雅黑" w:hAnsi="微软雅黑" w:eastAsia="微软雅黑" w:cs="Times New Roman"/>
          <w:sz w:val="24"/>
          <w:szCs w:val="24"/>
        </w:rPr>
        <w:t>掌握桌面演练和实际模拟演练的</w:t>
      </w:r>
      <w:r>
        <w:rPr>
          <w:rFonts w:hint="eastAsia" w:ascii="微软雅黑" w:hAnsi="微软雅黑" w:eastAsia="微软雅黑" w:cs="Times New Roman"/>
          <w:sz w:val="24"/>
          <w:szCs w:val="24"/>
        </w:rPr>
        <w:t>核心要点</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让学员学会</w:t>
      </w:r>
      <w:r>
        <w:rPr>
          <w:rFonts w:ascii="微软雅黑" w:hAnsi="微软雅黑" w:eastAsia="微软雅黑" w:cs="Times New Roman"/>
          <w:sz w:val="24"/>
          <w:szCs w:val="24"/>
        </w:rPr>
        <w:t>现场发现问题的能力，</w:t>
      </w:r>
      <w:r>
        <w:rPr>
          <w:rFonts w:hint="eastAsia" w:ascii="微软雅黑" w:hAnsi="微软雅黑" w:eastAsia="微软雅黑" w:cs="Times New Roman"/>
          <w:sz w:val="24"/>
          <w:szCs w:val="24"/>
        </w:rPr>
        <w:t>从员工</w:t>
      </w:r>
      <w:r>
        <w:rPr>
          <w:rFonts w:ascii="微软雅黑" w:hAnsi="微软雅黑" w:eastAsia="微软雅黑" w:cs="Times New Roman"/>
          <w:sz w:val="24"/>
          <w:szCs w:val="24"/>
        </w:rPr>
        <w:t>转变为“医生”</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理清事故调查以及根本原因分析的</w:t>
      </w:r>
      <w:r>
        <w:rPr>
          <w:rFonts w:ascii="微软雅黑" w:hAnsi="微软雅黑" w:eastAsia="微软雅黑" w:cs="Times New Roman"/>
          <w:sz w:val="24"/>
          <w:szCs w:val="24"/>
        </w:rPr>
        <w:t>思路，</w:t>
      </w:r>
      <w:r>
        <w:rPr>
          <w:rFonts w:hint="eastAsia" w:ascii="微软雅黑" w:hAnsi="微软雅黑" w:eastAsia="微软雅黑" w:cs="Times New Roman"/>
          <w:sz w:val="24"/>
          <w:szCs w:val="24"/>
        </w:rPr>
        <w:t>掌握事故调查</w:t>
      </w:r>
      <w:r>
        <w:rPr>
          <w:rFonts w:ascii="微软雅黑" w:hAnsi="微软雅黑" w:eastAsia="微软雅黑" w:cs="Times New Roman"/>
          <w:sz w:val="24"/>
          <w:szCs w:val="24"/>
        </w:rPr>
        <w:t>的基本思路</w:t>
      </w:r>
    </w:p>
    <w:p>
      <w:pPr>
        <w:pStyle w:val="12"/>
        <w:numPr>
          <w:ilvl w:val="0"/>
          <w:numId w:val="1"/>
        </w:numPr>
        <w:spacing w:after="0" w:line="460" w:lineRule="exact"/>
        <w:jc w:val="both"/>
        <w:rPr>
          <w:rFonts w:ascii="微软雅黑" w:hAnsi="微软雅黑" w:eastAsia="微软雅黑" w:cs="Times New Roman"/>
          <w:sz w:val="24"/>
          <w:szCs w:val="24"/>
        </w:rPr>
      </w:pPr>
      <w:r>
        <w:rPr>
          <w:rFonts w:hint="eastAsia" w:ascii="微软雅黑" w:hAnsi="微软雅黑" w:eastAsia="微软雅黑" w:cs="Times New Roman"/>
          <w:sz w:val="24"/>
          <w:szCs w:val="24"/>
        </w:rPr>
        <w:t>让学员学会员工OJT</w:t>
      </w:r>
      <w:r>
        <w:rPr>
          <w:rFonts w:ascii="微软雅黑" w:hAnsi="微软雅黑" w:eastAsia="微软雅黑" w:cs="Times New Roman"/>
          <w:sz w:val="24"/>
          <w:szCs w:val="24"/>
        </w:rPr>
        <w:t>培训</w:t>
      </w:r>
      <w:r>
        <w:rPr>
          <w:rFonts w:hint="eastAsia" w:ascii="微软雅黑" w:hAnsi="微软雅黑" w:eastAsia="微软雅黑" w:cs="Times New Roman"/>
          <w:sz w:val="24"/>
          <w:szCs w:val="24"/>
        </w:rPr>
        <w:t>的</w:t>
      </w:r>
      <w:r>
        <w:rPr>
          <w:rFonts w:ascii="微软雅黑" w:hAnsi="微软雅黑" w:eastAsia="微软雅黑" w:cs="Times New Roman"/>
          <w:sz w:val="24"/>
          <w:szCs w:val="24"/>
        </w:rPr>
        <w:t>四阶段法</w:t>
      </w:r>
    </w:p>
    <w:p>
      <w:pPr>
        <w:spacing w:after="0" w:line="460" w:lineRule="exact"/>
        <w:rPr>
          <w:rFonts w:ascii="微软雅黑" w:hAnsi="微软雅黑" w:eastAsia="微软雅黑" w:cs="微软雅黑"/>
          <w:b/>
          <w:bCs/>
          <w:color w:val="1F4E79"/>
          <w:spacing w:val="1"/>
          <w:w w:val="105"/>
          <w:sz w:val="24"/>
          <w:szCs w:val="24"/>
        </w:rPr>
      </w:pPr>
      <w:r>
        <w:drawing>
          <wp:anchor distT="0" distB="0" distL="114300" distR="114300" simplePos="0" relativeHeight="251660288" behindDoc="0" locked="0" layoutInCell="1" allowOverlap="1">
            <wp:simplePos x="0" y="0"/>
            <wp:positionH relativeFrom="margin">
              <wp:align>right</wp:align>
            </wp:positionH>
            <wp:positionV relativeFrom="paragraph">
              <wp:posOffset>373380</wp:posOffset>
            </wp:positionV>
            <wp:extent cx="5486400" cy="4060825"/>
            <wp:effectExtent l="0" t="0" r="381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4060825"/>
                    </a:xfrm>
                    <a:prstGeom prst="rect">
                      <a:avLst/>
                    </a:prstGeom>
                  </pic:spPr>
                </pic:pic>
              </a:graphicData>
            </a:graphic>
          </wp:anchor>
        </w:drawing>
      </w:r>
      <w:r>
        <w:rPr>
          <w:rFonts w:hint="eastAsia" w:ascii="微软雅黑" w:hAnsi="微软雅黑" w:eastAsia="微软雅黑" w:cs="微软雅黑"/>
          <w:b/>
          <w:bCs/>
          <w:color w:val="1F4E79"/>
          <w:spacing w:val="1"/>
          <w:w w:val="105"/>
          <w:sz w:val="24"/>
          <w:szCs w:val="24"/>
        </w:rPr>
        <w:t>课程模型：</w:t>
      </w:r>
    </w:p>
    <w:p>
      <w:pPr>
        <w:spacing w:after="0" w:line="460" w:lineRule="exact"/>
        <w:rPr>
          <w:rFonts w:ascii="微软雅黑" w:hAnsi="微软雅黑" w:eastAsia="微软雅黑" w:cs="Times New Roman"/>
          <w:sz w:val="24"/>
          <w:szCs w:val="24"/>
        </w:rPr>
      </w:pPr>
    </w:p>
    <w:p>
      <w:pPr>
        <w:spacing w:after="0" w:line="460" w:lineRule="exact"/>
        <w:rPr>
          <w:rFonts w:ascii="微软雅黑" w:hAnsi="微软雅黑" w:eastAsia="微软雅黑" w:cs="Times New Roman"/>
          <w:sz w:val="24"/>
          <w:szCs w:val="24"/>
        </w:rPr>
      </w:pPr>
    </w:p>
    <w:p>
      <w:pPr>
        <w:spacing w:after="0" w:line="460" w:lineRule="exact"/>
        <w:rPr>
          <w:rFonts w:ascii="微软雅黑" w:hAnsi="微软雅黑" w:eastAsia="微软雅黑" w:cs="Arial"/>
          <w:bCs/>
          <w:sz w:val="24"/>
          <w:szCs w:val="24"/>
        </w:rPr>
      </w:pPr>
      <w:bookmarkStart w:id="0" w:name="_Hlk7094875"/>
      <w:r>
        <w:rPr>
          <w:rFonts w:ascii="微软雅黑" w:hAnsi="微软雅黑" w:eastAsia="微软雅黑" w:cs="Times New Roman"/>
          <w:sz w:val="24"/>
          <w:szCs w:val="24"/>
        </w:rPr>
        <w:drawing>
          <wp:anchor distT="0" distB="0" distL="114300" distR="114300" simplePos="0" relativeHeight="251661312" behindDoc="0" locked="0" layoutInCell="1" allowOverlap="1">
            <wp:simplePos x="0" y="0"/>
            <wp:positionH relativeFrom="column">
              <wp:posOffset>703580</wp:posOffset>
            </wp:positionH>
            <wp:positionV relativeFrom="paragraph">
              <wp:posOffset>417830</wp:posOffset>
            </wp:positionV>
            <wp:extent cx="4182110" cy="2036445"/>
            <wp:effectExtent l="0" t="0" r="8890" b="190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182110" cy="2036445"/>
                    </a:xfrm>
                    <a:prstGeom prst="rect">
                      <a:avLst/>
                    </a:prstGeom>
                    <a:noFill/>
                  </pic:spPr>
                </pic:pic>
              </a:graphicData>
            </a:graphic>
          </wp:anchor>
        </w:drawing>
      </w:r>
      <w:r>
        <w:rPr>
          <w:rFonts w:hint="eastAsia" w:ascii="微软雅黑" w:hAnsi="微软雅黑" w:eastAsia="微软雅黑" w:cs="Arial"/>
          <w:bCs/>
          <w:sz w:val="24"/>
          <w:szCs w:val="24"/>
        </w:rPr>
        <w:t>更多</w:t>
      </w:r>
      <w:r>
        <w:rPr>
          <w:rFonts w:ascii="微软雅黑" w:hAnsi="微软雅黑" w:eastAsia="微软雅黑" w:cs="Arial"/>
          <w:bCs/>
          <w:sz w:val="24"/>
          <w:szCs w:val="24"/>
        </w:rPr>
        <w:t>执行模块</w:t>
      </w:r>
      <w:r>
        <w:rPr>
          <w:rFonts w:hint="eastAsia" w:ascii="微软雅黑" w:hAnsi="微软雅黑" w:eastAsia="微软雅黑" w:cs="Arial"/>
          <w:bCs/>
          <w:sz w:val="24"/>
          <w:szCs w:val="24"/>
        </w:rPr>
        <w:t>可供</w:t>
      </w:r>
      <w:r>
        <w:rPr>
          <w:rFonts w:ascii="微软雅黑" w:hAnsi="微软雅黑" w:eastAsia="微软雅黑" w:cs="Arial"/>
          <w:bCs/>
          <w:sz w:val="24"/>
          <w:szCs w:val="24"/>
        </w:rPr>
        <w:t>选择（</w:t>
      </w:r>
      <w:r>
        <w:rPr>
          <w:rFonts w:hint="eastAsia" w:ascii="微软雅黑" w:hAnsi="微软雅黑" w:eastAsia="微软雅黑" w:cs="Arial"/>
          <w:bCs/>
          <w:sz w:val="24"/>
          <w:szCs w:val="24"/>
        </w:rPr>
        <w:t>标准</w:t>
      </w:r>
      <w:r>
        <w:rPr>
          <w:rFonts w:ascii="微软雅黑" w:hAnsi="微软雅黑" w:eastAsia="微软雅黑" w:cs="Arial"/>
          <w:bCs/>
          <w:sz w:val="24"/>
          <w:szCs w:val="24"/>
        </w:rPr>
        <w:t>课程时长3</w:t>
      </w:r>
      <w:r>
        <w:rPr>
          <w:rFonts w:hint="eastAsia" w:ascii="微软雅黑" w:hAnsi="微软雅黑" w:eastAsia="微软雅黑" w:cs="Arial"/>
          <w:bCs/>
          <w:sz w:val="24"/>
          <w:szCs w:val="24"/>
        </w:rPr>
        <w:t>天</w:t>
      </w:r>
      <w:r>
        <w:rPr>
          <w:rFonts w:ascii="微软雅黑" w:hAnsi="微软雅黑" w:eastAsia="微软雅黑" w:cs="Arial"/>
          <w:bCs/>
          <w:sz w:val="24"/>
          <w:szCs w:val="24"/>
        </w:rPr>
        <w:t>）：</w:t>
      </w:r>
    </w:p>
    <w:bookmarkEnd w:id="0"/>
    <w:p>
      <w:pPr>
        <w:spacing w:after="0" w:line="460" w:lineRule="exact"/>
        <w:rPr>
          <w:rFonts w:ascii="微软雅黑" w:hAnsi="微软雅黑" w:eastAsia="微软雅黑" w:cs="Times New Roman"/>
          <w:sz w:val="24"/>
          <w:szCs w:val="24"/>
        </w:rPr>
      </w:pPr>
    </w:p>
    <w:p>
      <w:pPr>
        <w:spacing w:after="0" w:line="460" w:lineRule="exact"/>
        <w:rPr>
          <w:rFonts w:ascii="微软雅黑" w:hAnsi="微软雅黑" w:eastAsia="微软雅黑" w:cs="Times New Roman"/>
          <w:sz w:val="24"/>
          <w:szCs w:val="24"/>
        </w:rPr>
      </w:pPr>
      <w:r>
        <w:rPr>
          <w:rFonts w:hint="eastAsia" w:ascii="微软雅黑" w:hAnsi="微软雅黑" w:eastAsia="微软雅黑" w:cs="微软雅黑"/>
          <w:b/>
          <w:bCs/>
          <w:color w:val="1F4E79"/>
          <w:spacing w:val="1"/>
          <w:w w:val="105"/>
          <w:sz w:val="24"/>
          <w:szCs w:val="24"/>
        </w:rPr>
        <w:t>授课天数：</w:t>
      </w:r>
      <w:r>
        <w:rPr>
          <w:rFonts w:hint="eastAsia" w:ascii="微软雅黑" w:hAnsi="微软雅黑" w:eastAsia="微软雅黑" w:cs="Times New Roman"/>
          <w:sz w:val="24"/>
          <w:szCs w:val="24"/>
        </w:rPr>
        <w:t>2</w:t>
      </w:r>
      <w:r>
        <w:rPr>
          <w:rFonts w:ascii="微软雅黑" w:hAnsi="微软雅黑" w:eastAsia="微软雅黑" w:cs="Times New Roman"/>
          <w:sz w:val="24"/>
          <w:szCs w:val="24"/>
        </w:rPr>
        <w:t>-3</w:t>
      </w:r>
      <w:r>
        <w:rPr>
          <w:rFonts w:hint="eastAsia" w:ascii="微软雅黑" w:hAnsi="微软雅黑" w:eastAsia="微软雅黑" w:cs="Times New Roman"/>
          <w:sz w:val="24"/>
          <w:szCs w:val="24"/>
        </w:rPr>
        <w:t>天，</w:t>
      </w:r>
      <w:r>
        <w:rPr>
          <w:rFonts w:ascii="微软雅黑" w:hAnsi="微软雅黑" w:eastAsia="微软雅黑" w:cs="Times New Roman"/>
          <w:sz w:val="24"/>
          <w:szCs w:val="24"/>
        </w:rPr>
        <w:t>6</w:t>
      </w:r>
      <w:r>
        <w:rPr>
          <w:rFonts w:hint="eastAsia" w:ascii="微软雅黑" w:hAnsi="微软雅黑" w:eastAsia="微软雅黑" w:cs="Times New Roman"/>
          <w:sz w:val="24"/>
          <w:szCs w:val="24"/>
        </w:rPr>
        <w:t>小时</w:t>
      </w:r>
      <w:r>
        <w:rPr>
          <w:rFonts w:ascii="微软雅黑" w:hAnsi="微软雅黑" w:eastAsia="微软雅黑" w:cs="Times New Roman"/>
          <w:sz w:val="24"/>
          <w:szCs w:val="24"/>
        </w:rPr>
        <w:t>/</w:t>
      </w:r>
      <w:r>
        <w:rPr>
          <w:rFonts w:hint="eastAsia" w:ascii="微软雅黑" w:hAnsi="微软雅黑" w:eastAsia="微软雅黑" w:cs="Times New Roman"/>
          <w:sz w:val="24"/>
          <w:szCs w:val="24"/>
        </w:rPr>
        <w:t>天</w:t>
      </w:r>
    </w:p>
    <w:p>
      <w:pPr>
        <w:spacing w:after="0" w:line="460" w:lineRule="exact"/>
        <w:rPr>
          <w:rFonts w:ascii="微软雅黑" w:hAnsi="微软雅黑" w:eastAsia="微软雅黑" w:cs="Times New Roman"/>
          <w:sz w:val="24"/>
          <w:szCs w:val="24"/>
        </w:rPr>
      </w:pPr>
    </w:p>
    <w:p>
      <w:pPr>
        <w:spacing w:after="0" w:line="460" w:lineRule="exact"/>
        <w:rPr>
          <w:rFonts w:ascii="微软雅黑" w:hAnsi="微软雅黑" w:eastAsia="微软雅黑" w:cs="Times New Roman"/>
          <w:sz w:val="24"/>
          <w:szCs w:val="24"/>
        </w:rPr>
      </w:pPr>
      <w:r>
        <w:rPr>
          <w:rFonts w:hint="eastAsia" w:ascii="微软雅黑" w:hAnsi="微软雅黑" w:eastAsia="微软雅黑" w:cs="微软雅黑"/>
          <w:b/>
          <w:bCs/>
          <w:color w:val="1F4E79"/>
          <w:spacing w:val="1"/>
          <w:w w:val="105"/>
          <w:sz w:val="24"/>
          <w:szCs w:val="24"/>
        </w:rPr>
        <w:t>学员对象：</w:t>
      </w:r>
      <w:r>
        <w:rPr>
          <w:rFonts w:hint="eastAsia" w:ascii="微软雅黑" w:hAnsi="微软雅黑" w:eastAsia="微软雅黑" w:cs="Times New Roman"/>
          <w:sz w:val="24"/>
          <w:szCs w:val="24"/>
        </w:rPr>
        <w:t>EHS经理，EHS专员，各部门经理，维修人员，总经理，一线管理人员以及工程师等。</w:t>
      </w:r>
    </w:p>
    <w:p>
      <w:pPr>
        <w:pStyle w:val="3"/>
        <w:kinsoku w:val="0"/>
        <w:overflowPunct w:val="0"/>
        <w:spacing w:before="0" w:line="460" w:lineRule="exact"/>
        <w:ind w:left="0" w:right="3537"/>
        <w:rPr>
          <w:rFonts w:hAnsi="微软雅黑"/>
          <w:b/>
          <w:bCs/>
          <w:color w:val="1F4E79"/>
          <w:spacing w:val="1"/>
          <w:w w:val="105"/>
          <w:sz w:val="24"/>
          <w:szCs w:val="24"/>
        </w:rPr>
      </w:pPr>
    </w:p>
    <w:p>
      <w:pPr>
        <w:pStyle w:val="3"/>
        <w:kinsoku w:val="0"/>
        <w:overflowPunct w:val="0"/>
        <w:spacing w:before="0" w:line="460" w:lineRule="exact"/>
        <w:ind w:left="0" w:right="3537"/>
        <w:rPr>
          <w:rFonts w:hAnsi="微软雅黑"/>
          <w:b/>
          <w:bCs/>
          <w:color w:val="1F4E79"/>
          <w:spacing w:val="1"/>
          <w:w w:val="105"/>
          <w:sz w:val="24"/>
          <w:szCs w:val="24"/>
        </w:rPr>
      </w:pPr>
      <w:r>
        <w:rPr>
          <w:rFonts w:hint="eastAsia" w:hAnsi="微软雅黑"/>
          <w:b/>
          <w:bCs/>
          <w:color w:val="1F4E79"/>
          <w:spacing w:val="1"/>
          <w:w w:val="105"/>
          <w:sz w:val="24"/>
          <w:szCs w:val="24"/>
        </w:rPr>
        <w:t>授课方式：</w:t>
      </w:r>
    </w:p>
    <w:p>
      <w:pPr>
        <w:pStyle w:val="2"/>
        <w:numPr>
          <w:ilvl w:val="0"/>
          <w:numId w:val="2"/>
        </w:numPr>
        <w:pBdr>
          <w:right w:val="none" w:color="auto" w:sz="0" w:space="0"/>
        </w:pBdr>
        <w:jc w:val="left"/>
        <w:rPr>
          <w:rFonts w:ascii="Microsoft YaHei UI" w:hAnsi="Microsoft YaHei UI"/>
          <w:b w:val="0"/>
          <w:color w:val="auto"/>
          <w:sz w:val="24"/>
          <w:szCs w:val="24"/>
        </w:rPr>
      </w:pPr>
      <w:r>
        <w:rPr>
          <w:rFonts w:hint="eastAsia" w:ascii="Microsoft YaHei UI" w:hAnsi="Microsoft YaHei UI"/>
          <w:b w:val="0"/>
          <w:color w:val="auto"/>
          <w:sz w:val="24"/>
          <w:szCs w:val="24"/>
        </w:rPr>
        <w:t>互动激励，善于激发和点拨，引发学员思考和参与，产生共鸣；</w:t>
      </w:r>
    </w:p>
    <w:p>
      <w:pPr>
        <w:pStyle w:val="2"/>
        <w:numPr>
          <w:ilvl w:val="0"/>
          <w:numId w:val="2"/>
        </w:numPr>
        <w:pBdr>
          <w:right w:val="none" w:color="auto" w:sz="0" w:space="0"/>
        </w:pBdr>
        <w:jc w:val="left"/>
        <w:rPr>
          <w:rFonts w:ascii="Microsoft YaHei UI" w:hAnsi="Microsoft YaHei UI"/>
          <w:b w:val="0"/>
          <w:color w:val="auto"/>
          <w:sz w:val="24"/>
          <w:szCs w:val="24"/>
        </w:rPr>
      </w:pPr>
      <w:r>
        <w:rPr>
          <w:rFonts w:hint="eastAsia" w:ascii="Microsoft YaHei UI" w:hAnsi="Microsoft YaHei UI"/>
          <w:b w:val="0"/>
          <w:color w:val="auto"/>
          <w:sz w:val="24"/>
          <w:szCs w:val="24"/>
        </w:rPr>
        <w:t>经典案例，视频图示，游戏互动、角色扮演、小组讨论；</w:t>
      </w:r>
    </w:p>
    <w:p>
      <w:pPr>
        <w:spacing w:after="0" w:line="460" w:lineRule="exact"/>
        <w:rPr>
          <w:rFonts w:ascii="微软雅黑" w:hAnsi="微软雅黑" w:eastAsia="微软雅黑" w:cs="Times New Roman"/>
          <w:sz w:val="24"/>
          <w:szCs w:val="24"/>
        </w:rPr>
      </w:pPr>
    </w:p>
    <w:p>
      <w:pPr>
        <w:pStyle w:val="3"/>
        <w:kinsoku w:val="0"/>
        <w:overflowPunct w:val="0"/>
        <w:spacing w:before="0" w:line="460" w:lineRule="exact"/>
        <w:ind w:left="86" w:right="-7"/>
        <w:jc w:val="center"/>
        <w:rPr>
          <w:rFonts w:hAnsi="微软雅黑"/>
          <w:b/>
          <w:bCs/>
          <w:color w:val="1F4E79"/>
          <w:sz w:val="24"/>
          <w:szCs w:val="24"/>
        </w:rPr>
      </w:pPr>
      <w:r>
        <w:rPr>
          <w:rFonts w:hint="eastAsia" w:hAnsi="微软雅黑"/>
          <w:b/>
          <w:bCs/>
          <w:color w:val="1F4E79"/>
          <w:sz w:val="24"/>
          <w:szCs w:val="24"/>
        </w:rPr>
        <w:t>课程</w:t>
      </w:r>
      <w:r>
        <w:rPr>
          <w:rFonts w:hAnsi="微软雅黑"/>
          <w:b/>
          <w:bCs/>
          <w:color w:val="1F4E79"/>
          <w:sz w:val="24"/>
          <w:szCs w:val="24"/>
        </w:rPr>
        <w:t>大纲</w:t>
      </w:r>
    </w:p>
    <w:p>
      <w:pPr>
        <w:pStyle w:val="3"/>
        <w:kinsoku w:val="0"/>
        <w:overflowPunct w:val="0"/>
        <w:spacing w:before="0" w:line="460" w:lineRule="exact"/>
        <w:ind w:left="0" w:right="3537"/>
        <w:rPr>
          <w:rFonts w:hAnsi="微软雅黑"/>
          <w:b/>
          <w:bCs/>
          <w:color w:val="1F4E79"/>
          <w:spacing w:val="1"/>
          <w:w w:val="105"/>
          <w:sz w:val="24"/>
          <w:szCs w:val="24"/>
        </w:rPr>
      </w:pPr>
      <w:r>
        <w:rPr>
          <w:rFonts w:hint="eastAsia" w:hAnsi="微软雅黑"/>
          <w:b/>
          <w:bCs/>
          <w:color w:val="1F4E79"/>
          <w:spacing w:val="1"/>
          <w:w w:val="105"/>
          <w:sz w:val="24"/>
          <w:szCs w:val="24"/>
        </w:rPr>
        <w:t>第一讲、角色认知和安全领导力（</w:t>
      </w:r>
      <w:r>
        <w:rPr>
          <w:rFonts w:hAnsi="微软雅黑"/>
          <w:b/>
          <w:bCs/>
          <w:color w:val="1F4E79"/>
          <w:spacing w:val="1"/>
          <w:w w:val="105"/>
          <w:sz w:val="24"/>
          <w:szCs w:val="24"/>
        </w:rPr>
        <w:t>Plan）</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一</w:t>
      </w:r>
      <w:r>
        <w:rPr>
          <w:rFonts w:ascii="微软雅黑" w:hAnsi="Times New Roman" w:eastAsia="微软雅黑" w:cs="微软雅黑"/>
          <w:bCs/>
          <w:color w:val="C45811"/>
          <w:w w:val="105"/>
          <w:sz w:val="24"/>
          <w:szCs w:val="24"/>
        </w:rPr>
        <w:t>、</w:t>
      </w:r>
      <w:r>
        <w:rPr>
          <w:rFonts w:hint="eastAsia" w:ascii="微软雅黑" w:hAnsi="Times New Roman" w:eastAsia="微软雅黑" w:cs="微软雅黑"/>
          <w:bCs/>
          <w:color w:val="C45811"/>
          <w:w w:val="105"/>
          <w:sz w:val="24"/>
          <w:szCs w:val="24"/>
        </w:rPr>
        <w:t>什么是安全领导力？</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引言：安全十问</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什么是安全领导力？</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永远不要视而不见（</w:t>
      </w:r>
      <w:r>
        <w:rPr>
          <w:rFonts w:ascii="微软雅黑" w:hAnsi="微软雅黑" w:eastAsia="微软雅黑" w:cs="宋体"/>
          <w:color w:val="333333"/>
          <w:sz w:val="24"/>
          <w:szCs w:val="24"/>
        </w:rPr>
        <w:t>视频）</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安全领导者的定义</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 xml:space="preserve">你是一个合格的安全领导者吗？ </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如何体现安全领导力</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安全承诺</w:t>
      </w:r>
    </w:p>
    <w:p>
      <w:pPr>
        <w:pStyle w:val="12"/>
        <w:numPr>
          <w:ilvl w:val="0"/>
          <w:numId w:val="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写下你的安全承诺并实施</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二</w:t>
      </w:r>
      <w:r>
        <w:rPr>
          <w:rFonts w:ascii="微软雅黑" w:hAnsi="Times New Roman" w:eastAsia="微软雅黑" w:cs="微软雅黑"/>
          <w:bCs/>
          <w:color w:val="C45811"/>
          <w:w w:val="105"/>
          <w:sz w:val="24"/>
          <w:szCs w:val="24"/>
        </w:rPr>
        <w:t>、</w:t>
      </w:r>
      <w:r>
        <w:rPr>
          <w:rFonts w:hint="eastAsia" w:ascii="微软雅黑" w:hAnsi="Times New Roman" w:eastAsia="微软雅黑" w:cs="微软雅黑"/>
          <w:bCs/>
          <w:color w:val="C45811"/>
          <w:w w:val="105"/>
          <w:sz w:val="24"/>
          <w:szCs w:val="24"/>
        </w:rPr>
        <w:t>工厂经理以及一线班组长应该知道的安全理念和准则</w:t>
      </w:r>
    </w:p>
    <w:p>
      <w:pPr>
        <w:pStyle w:val="12"/>
        <w:numPr>
          <w:ilvl w:val="0"/>
          <w:numId w:val="4"/>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什么是安全？</w:t>
      </w:r>
    </w:p>
    <w:p>
      <w:pPr>
        <w:pStyle w:val="12"/>
        <w:numPr>
          <w:ilvl w:val="0"/>
          <w:numId w:val="4"/>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事故和风险-事故是怎样形成的</w:t>
      </w:r>
    </w:p>
    <w:p>
      <w:pPr>
        <w:pStyle w:val="12"/>
        <w:numPr>
          <w:ilvl w:val="0"/>
          <w:numId w:val="4"/>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事故的海因里希法则</w:t>
      </w:r>
    </w:p>
    <w:p>
      <w:pPr>
        <w:pStyle w:val="12"/>
        <w:numPr>
          <w:ilvl w:val="0"/>
          <w:numId w:val="4"/>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事故的冰山理论</w:t>
      </w:r>
    </w:p>
    <w:p>
      <w:pPr>
        <w:pStyle w:val="12"/>
        <w:numPr>
          <w:ilvl w:val="0"/>
          <w:numId w:val="4"/>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 xml:space="preserve">墨菲定律 </w:t>
      </w:r>
    </w:p>
    <w:p>
      <w:pPr>
        <w:spacing w:after="0" w:line="460" w:lineRule="exact"/>
        <w:rPr>
          <w:rFonts w:ascii="微软雅黑" w:hAnsi="微软雅黑" w:eastAsia="微软雅黑" w:cs="宋体"/>
          <w:color w:val="333333"/>
          <w:sz w:val="24"/>
          <w:szCs w:val="24"/>
        </w:rPr>
      </w:pPr>
    </w:p>
    <w:p>
      <w:pPr>
        <w:pStyle w:val="3"/>
        <w:kinsoku w:val="0"/>
        <w:overflowPunct w:val="0"/>
        <w:spacing w:before="0" w:line="460" w:lineRule="exact"/>
        <w:ind w:left="0" w:right="-7"/>
        <w:rPr>
          <w:rFonts w:hAnsi="微软雅黑"/>
          <w:b/>
          <w:bCs/>
          <w:color w:val="1F4E79"/>
          <w:spacing w:val="1"/>
          <w:w w:val="105"/>
          <w:sz w:val="24"/>
          <w:szCs w:val="24"/>
        </w:rPr>
      </w:pPr>
      <w:r>
        <w:rPr>
          <w:rFonts w:hint="eastAsia" w:hAnsi="微软雅黑"/>
          <w:b/>
          <w:bCs/>
          <w:color w:val="1F4E79"/>
          <w:spacing w:val="1"/>
          <w:w w:val="105"/>
          <w:sz w:val="24"/>
          <w:szCs w:val="24"/>
        </w:rPr>
        <w:t>第二讲、策划一个适用的OHSAS系统 （</w:t>
      </w:r>
      <w:r>
        <w:rPr>
          <w:rFonts w:hAnsi="微软雅黑"/>
          <w:b/>
          <w:bCs/>
          <w:color w:val="1F4E79"/>
          <w:spacing w:val="1"/>
          <w:w w:val="105"/>
          <w:sz w:val="24"/>
          <w:szCs w:val="24"/>
        </w:rPr>
        <w:t>Plan）</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一</w:t>
      </w:r>
      <w:r>
        <w:rPr>
          <w:rFonts w:ascii="微软雅黑" w:hAnsi="Times New Roman" w:eastAsia="微软雅黑" w:cs="微软雅黑"/>
          <w:bCs/>
          <w:color w:val="C45811"/>
          <w:w w:val="105"/>
          <w:sz w:val="24"/>
          <w:szCs w:val="24"/>
        </w:rPr>
        <w:t>、管理体系的实质</w:t>
      </w:r>
    </w:p>
    <w:p>
      <w:pPr>
        <w:pStyle w:val="12"/>
        <w:numPr>
          <w:ilvl w:val="0"/>
          <w:numId w:val="5"/>
        </w:numPr>
        <w:spacing w:after="0" w:line="460" w:lineRule="exact"/>
        <w:rPr>
          <w:rFonts w:ascii="微软雅黑" w:hAnsi="微软雅黑" w:eastAsia="微软雅黑" w:cs="微软雅黑"/>
          <w:bCs/>
          <w:color w:val="000000" w:themeColor="text1"/>
          <w:w w:val="105"/>
          <w:sz w:val="24"/>
          <w:szCs w:val="24"/>
          <w14:textFill>
            <w14:solidFill>
              <w14:schemeClr w14:val="tx1"/>
            </w14:solidFill>
          </w14:textFill>
        </w:rPr>
      </w:pPr>
      <w:r>
        <w:rPr>
          <w:rFonts w:hint="eastAsia" w:ascii="微软雅黑" w:hAnsi="微软雅黑" w:eastAsia="微软雅黑" w:cs="微软雅黑"/>
          <w:bCs/>
          <w:color w:val="000000" w:themeColor="text1"/>
          <w:w w:val="105"/>
          <w:sz w:val="24"/>
          <w:szCs w:val="24"/>
          <w14:textFill>
            <w14:solidFill>
              <w14:schemeClr w14:val="tx1"/>
            </w14:solidFill>
          </w14:textFill>
        </w:rPr>
        <w:t>管理体系</w:t>
      </w:r>
      <w:r>
        <w:rPr>
          <w:rFonts w:ascii="微软雅黑" w:hAnsi="微软雅黑" w:eastAsia="微软雅黑" w:cs="微软雅黑"/>
          <w:bCs/>
          <w:color w:val="000000" w:themeColor="text1"/>
          <w:w w:val="105"/>
          <w:sz w:val="24"/>
          <w:szCs w:val="24"/>
          <w14:textFill>
            <w14:solidFill>
              <w14:schemeClr w14:val="tx1"/>
            </w14:solidFill>
          </w14:textFill>
        </w:rPr>
        <w:t>的基本概念</w:t>
      </w:r>
    </w:p>
    <w:p>
      <w:pPr>
        <w:pStyle w:val="12"/>
        <w:numPr>
          <w:ilvl w:val="0"/>
          <w:numId w:val="5"/>
        </w:numPr>
        <w:spacing w:after="0" w:line="460" w:lineRule="exact"/>
        <w:rPr>
          <w:rFonts w:ascii="微软雅黑" w:hAnsi="微软雅黑" w:eastAsia="微软雅黑" w:cs="微软雅黑"/>
          <w:bCs/>
          <w:color w:val="000000" w:themeColor="text1"/>
          <w:w w:val="105"/>
          <w:sz w:val="24"/>
          <w:szCs w:val="24"/>
          <w14:textFill>
            <w14:solidFill>
              <w14:schemeClr w14:val="tx1"/>
            </w14:solidFill>
          </w14:textFill>
        </w:rPr>
      </w:pPr>
      <w:r>
        <w:rPr>
          <w:rFonts w:hint="eastAsia" w:ascii="微软雅黑" w:hAnsi="微软雅黑" w:eastAsia="微软雅黑" w:cs="微软雅黑"/>
          <w:bCs/>
          <w:color w:val="000000" w:themeColor="text1"/>
          <w:w w:val="105"/>
          <w:sz w:val="24"/>
          <w:szCs w:val="24"/>
          <w14:textFill>
            <w14:solidFill>
              <w14:schemeClr w14:val="tx1"/>
            </w14:solidFill>
          </w14:textFill>
        </w:rPr>
        <w:t>管理</w:t>
      </w:r>
      <w:r>
        <w:rPr>
          <w:rFonts w:ascii="微软雅黑" w:hAnsi="微软雅黑" w:eastAsia="微软雅黑" w:cs="微软雅黑"/>
          <w:bCs/>
          <w:color w:val="000000" w:themeColor="text1"/>
          <w:w w:val="105"/>
          <w:sz w:val="24"/>
          <w:szCs w:val="24"/>
          <w14:textFill>
            <w14:solidFill>
              <w14:schemeClr w14:val="tx1"/>
            </w14:solidFill>
          </w14:textFill>
        </w:rPr>
        <w:t>体系的实质—游戏和</w:t>
      </w:r>
      <w:r>
        <w:rPr>
          <w:rFonts w:hint="eastAsia" w:ascii="微软雅黑" w:hAnsi="微软雅黑" w:eastAsia="微软雅黑" w:cs="微软雅黑"/>
          <w:bCs/>
          <w:color w:val="000000" w:themeColor="text1"/>
          <w:w w:val="105"/>
          <w:sz w:val="24"/>
          <w:szCs w:val="24"/>
          <w14:textFill>
            <w14:solidFill>
              <w14:schemeClr w14:val="tx1"/>
            </w14:solidFill>
          </w14:textFill>
        </w:rPr>
        <w:t>互动</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二</w:t>
      </w:r>
      <w:r>
        <w:rPr>
          <w:rFonts w:ascii="微软雅黑" w:hAnsi="Times New Roman" w:eastAsia="微软雅黑" w:cs="微软雅黑"/>
          <w:bCs/>
          <w:color w:val="C45811"/>
          <w:w w:val="105"/>
          <w:sz w:val="24"/>
          <w:szCs w:val="24"/>
        </w:rPr>
        <w:t>、</w:t>
      </w:r>
      <w:r>
        <w:rPr>
          <w:rFonts w:hint="eastAsia" w:ascii="微软雅黑" w:hAnsi="Times New Roman" w:eastAsia="微软雅黑" w:cs="微软雅黑"/>
          <w:bCs/>
          <w:color w:val="C45811"/>
          <w:w w:val="105"/>
          <w:sz w:val="24"/>
          <w:szCs w:val="24"/>
        </w:rPr>
        <w:t>危险源的识别和</w:t>
      </w:r>
      <w:r>
        <w:rPr>
          <w:rFonts w:ascii="微软雅黑" w:hAnsi="Times New Roman" w:eastAsia="微软雅黑" w:cs="微软雅黑"/>
          <w:bCs/>
          <w:color w:val="C45811"/>
          <w:w w:val="105"/>
          <w:sz w:val="24"/>
          <w:szCs w:val="24"/>
        </w:rPr>
        <w:t>评价</w:t>
      </w:r>
    </w:p>
    <w:p>
      <w:pPr>
        <w:pStyle w:val="12"/>
        <w:numPr>
          <w:ilvl w:val="0"/>
          <w:numId w:val="6"/>
        </w:numPr>
        <w:spacing w:after="0" w:line="460" w:lineRule="exact"/>
        <w:rPr>
          <w:rFonts w:ascii="微软雅黑" w:hAnsi="Times New Roman" w:eastAsia="微软雅黑" w:cs="微软雅黑"/>
          <w:bCs/>
          <w:color w:val="000000" w:themeColor="text1"/>
          <w:w w:val="105"/>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危险源识别相关的概念简介</w:t>
      </w:r>
    </w:p>
    <w:p>
      <w:pPr>
        <w:pStyle w:val="12"/>
        <w:numPr>
          <w:ilvl w:val="0"/>
          <w:numId w:val="6"/>
        </w:numPr>
        <w:spacing w:after="0" w:line="460" w:lineRule="exact"/>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危险源识别（</w:t>
      </w:r>
      <w:r>
        <w:rPr>
          <w:rFonts w:ascii="微软雅黑" w:hAnsi="微软雅黑" w:eastAsia="微软雅黑" w:cs="宋体"/>
          <w:color w:val="000000" w:themeColor="text1"/>
          <w:sz w:val="24"/>
          <w:szCs w:val="24"/>
          <w14:textFill>
            <w14:solidFill>
              <w14:schemeClr w14:val="tx1"/>
            </w14:solidFill>
          </w14:textFill>
        </w:rPr>
        <w:t>第二类危险源：人</w:t>
      </w:r>
      <w:r>
        <w:rPr>
          <w:rFonts w:hint="eastAsia" w:ascii="微软雅黑" w:hAnsi="微软雅黑" w:eastAsia="微软雅黑" w:cs="宋体"/>
          <w:color w:val="000000" w:themeColor="text1"/>
          <w:sz w:val="24"/>
          <w:szCs w:val="24"/>
          <w14:textFill>
            <w14:solidFill>
              <w14:schemeClr w14:val="tx1"/>
            </w14:solidFill>
          </w14:textFill>
        </w:rPr>
        <w:t>，</w:t>
      </w:r>
      <w:r>
        <w:rPr>
          <w:rFonts w:ascii="微软雅黑" w:hAnsi="微软雅黑" w:eastAsia="微软雅黑" w:cs="宋体"/>
          <w:color w:val="000000" w:themeColor="text1"/>
          <w:sz w:val="24"/>
          <w:szCs w:val="24"/>
          <w14:textFill>
            <w14:solidFill>
              <w14:schemeClr w14:val="tx1"/>
            </w14:solidFill>
          </w14:textFill>
        </w:rPr>
        <w:t>物，环境）—</w:t>
      </w:r>
      <w:r>
        <w:rPr>
          <w:rFonts w:hint="eastAsia" w:ascii="微软雅黑" w:hAnsi="微软雅黑" w:eastAsia="微软雅黑" w:cs="宋体"/>
          <w:color w:val="000000" w:themeColor="text1"/>
          <w:sz w:val="24"/>
          <w:szCs w:val="24"/>
          <w14:textFill>
            <w14:solidFill>
              <w14:schemeClr w14:val="tx1"/>
            </w14:solidFill>
          </w14:textFill>
        </w:rPr>
        <w:t>案例和练习</w:t>
      </w:r>
    </w:p>
    <w:p>
      <w:pPr>
        <w:pStyle w:val="12"/>
        <w:numPr>
          <w:ilvl w:val="0"/>
          <w:numId w:val="6"/>
        </w:numPr>
        <w:spacing w:after="0" w:line="460" w:lineRule="exact"/>
        <w:rPr>
          <w:rFonts w:ascii="微软雅黑" w:hAnsi="微软雅黑" w:eastAsia="微软雅黑" w:cs="宋体"/>
          <w:color w:val="000000" w:themeColor="text1"/>
          <w:sz w:val="24"/>
          <w:szCs w:val="24"/>
          <w14:textFill>
            <w14:solidFill>
              <w14:schemeClr w14:val="tx1"/>
            </w14:solidFill>
          </w14:textFill>
        </w:rPr>
      </w:pPr>
      <w:r>
        <w:rPr>
          <w:rFonts w:hint="eastAsia" w:ascii="微软雅黑" w:hAnsi="微软雅黑" w:eastAsia="微软雅黑" w:cs="宋体"/>
          <w:color w:val="000000" w:themeColor="text1"/>
          <w:sz w:val="24"/>
          <w:szCs w:val="24"/>
          <w14:textFill>
            <w14:solidFill>
              <w14:schemeClr w14:val="tx1"/>
            </w14:solidFill>
          </w14:textFill>
        </w:rPr>
        <w:t>风险评价（</w:t>
      </w:r>
      <w:r>
        <w:rPr>
          <w:rFonts w:ascii="微软雅黑" w:hAnsi="微软雅黑" w:eastAsia="微软雅黑" w:cs="宋体"/>
          <w:color w:val="000000" w:themeColor="text1"/>
          <w:sz w:val="24"/>
          <w:szCs w:val="24"/>
          <w14:textFill>
            <w14:solidFill>
              <w14:schemeClr w14:val="tx1"/>
            </w14:solidFill>
          </w14:textFill>
        </w:rPr>
        <w:t>LEC和矩阵法）—</w:t>
      </w:r>
      <w:r>
        <w:rPr>
          <w:rFonts w:hint="eastAsia" w:ascii="微软雅黑" w:hAnsi="微软雅黑" w:eastAsia="微软雅黑" w:cs="宋体"/>
          <w:color w:val="000000" w:themeColor="text1"/>
          <w:sz w:val="24"/>
          <w:szCs w:val="24"/>
          <w14:textFill>
            <w14:solidFill>
              <w14:schemeClr w14:val="tx1"/>
            </w14:solidFill>
          </w14:textFill>
        </w:rPr>
        <w:t>案例和练习</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三</w:t>
      </w:r>
      <w:r>
        <w:rPr>
          <w:rFonts w:ascii="微软雅黑" w:hAnsi="Times New Roman" w:eastAsia="微软雅黑" w:cs="微软雅黑"/>
          <w:bCs/>
          <w:color w:val="C45811"/>
          <w:w w:val="105"/>
          <w:sz w:val="24"/>
          <w:szCs w:val="24"/>
        </w:rPr>
        <w:t>、风险控制</w:t>
      </w:r>
    </w:p>
    <w:p>
      <w:pPr>
        <w:pStyle w:val="12"/>
        <w:numPr>
          <w:ilvl w:val="0"/>
          <w:numId w:val="7"/>
        </w:numPr>
        <w:spacing w:after="0" w:line="460" w:lineRule="exact"/>
        <w:rPr>
          <w:rFonts w:ascii="微软雅黑" w:hAnsi="微软雅黑" w:eastAsia="微软雅黑" w:cs="宋体"/>
          <w:sz w:val="24"/>
          <w:szCs w:val="24"/>
        </w:rPr>
      </w:pPr>
      <w:r>
        <w:rPr>
          <w:rFonts w:hint="eastAsia" w:ascii="微软雅黑" w:hAnsi="微软雅黑" w:eastAsia="微软雅黑" w:cs="宋体"/>
          <w:sz w:val="24"/>
          <w:szCs w:val="24"/>
        </w:rPr>
        <w:t>危险源管理的层次</w:t>
      </w:r>
      <w:r>
        <w:rPr>
          <w:rFonts w:ascii="微软雅黑" w:hAnsi="微软雅黑" w:eastAsia="微软雅黑" w:cs="宋体"/>
          <w:sz w:val="24"/>
          <w:szCs w:val="24"/>
        </w:rPr>
        <w:t>—</w:t>
      </w:r>
      <w:r>
        <w:rPr>
          <w:rFonts w:hint="eastAsia" w:ascii="微软雅黑" w:hAnsi="微软雅黑" w:eastAsia="微软雅黑" w:cs="宋体"/>
          <w:sz w:val="24"/>
          <w:szCs w:val="24"/>
        </w:rPr>
        <w:t>视频短片</w:t>
      </w:r>
      <w:r>
        <w:rPr>
          <w:rFonts w:ascii="微软雅黑" w:hAnsi="微软雅黑" w:eastAsia="微软雅黑" w:cs="宋体"/>
          <w:sz w:val="24"/>
          <w:szCs w:val="24"/>
        </w:rPr>
        <w:t>、案例</w:t>
      </w:r>
    </w:p>
    <w:p>
      <w:pPr>
        <w:spacing w:after="0" w:line="460" w:lineRule="exact"/>
        <w:rPr>
          <w:rFonts w:ascii="微软雅黑" w:hAnsi="微软雅黑" w:eastAsia="微软雅黑" w:cs="Arial"/>
          <w:b/>
          <w:color w:val="000000"/>
          <w:sz w:val="24"/>
          <w:szCs w:val="24"/>
        </w:rPr>
      </w:pPr>
    </w:p>
    <w:p>
      <w:pPr>
        <w:pStyle w:val="3"/>
        <w:kinsoku w:val="0"/>
        <w:overflowPunct w:val="0"/>
        <w:spacing w:before="0" w:line="460" w:lineRule="exact"/>
        <w:ind w:left="0" w:right="3537"/>
        <w:rPr>
          <w:rFonts w:hAnsi="微软雅黑"/>
          <w:b/>
          <w:bCs/>
          <w:color w:val="1F4E79"/>
          <w:spacing w:val="1"/>
          <w:w w:val="105"/>
          <w:sz w:val="24"/>
          <w:szCs w:val="24"/>
        </w:rPr>
      </w:pPr>
      <w:r>
        <w:rPr>
          <w:rFonts w:hint="eastAsia" w:hAnsi="微软雅黑"/>
          <w:b/>
          <w:bCs/>
          <w:color w:val="1F4E79"/>
          <w:spacing w:val="1"/>
          <w:w w:val="105"/>
          <w:sz w:val="24"/>
          <w:szCs w:val="24"/>
        </w:rPr>
        <w:t>第三讲、运行控制</w:t>
      </w:r>
      <w:r>
        <w:rPr>
          <w:rFonts w:hAnsi="微软雅黑"/>
          <w:b/>
          <w:bCs/>
          <w:color w:val="1F4E79"/>
          <w:spacing w:val="1"/>
          <w:w w:val="105"/>
          <w:sz w:val="24"/>
          <w:szCs w:val="24"/>
        </w:rPr>
        <w:t>（Do）</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一</w:t>
      </w:r>
      <w:r>
        <w:rPr>
          <w:rFonts w:ascii="微软雅黑" w:hAnsi="Times New Roman" w:eastAsia="微软雅黑" w:cs="微软雅黑"/>
          <w:bCs/>
          <w:color w:val="C45811"/>
          <w:w w:val="105"/>
          <w:sz w:val="24"/>
          <w:szCs w:val="24"/>
        </w:rPr>
        <w:t>、</w:t>
      </w:r>
      <w:r>
        <w:rPr>
          <w:rFonts w:hint="eastAsia" w:ascii="微软雅黑" w:hAnsi="Times New Roman" w:eastAsia="微软雅黑" w:cs="微软雅黑"/>
          <w:bCs/>
          <w:color w:val="C45811"/>
          <w:w w:val="105"/>
          <w:sz w:val="24"/>
          <w:szCs w:val="24"/>
        </w:rPr>
        <w:t>5S 和标识管理</w:t>
      </w:r>
    </w:p>
    <w:p>
      <w:pPr>
        <w:pStyle w:val="12"/>
        <w:numPr>
          <w:ilvl w:val="0"/>
          <w:numId w:val="7"/>
        </w:numPr>
        <w:spacing w:after="0" w:line="460" w:lineRule="exact"/>
        <w:rPr>
          <w:rFonts w:ascii="微软雅黑" w:hAnsi="微软雅黑" w:eastAsia="微软雅黑" w:cs="Arial"/>
          <w:color w:val="000000"/>
          <w:sz w:val="24"/>
          <w:szCs w:val="24"/>
        </w:rPr>
      </w:pPr>
      <w:r>
        <w:rPr>
          <w:rFonts w:hint="eastAsia" w:ascii="微软雅黑" w:hAnsi="微软雅黑" w:eastAsia="微软雅黑" w:cs="Arial"/>
          <w:color w:val="000000"/>
          <w:sz w:val="24"/>
          <w:szCs w:val="24"/>
        </w:rPr>
        <w:t>5</w:t>
      </w:r>
      <w:r>
        <w:rPr>
          <w:rFonts w:ascii="微软雅黑" w:hAnsi="微软雅黑" w:eastAsia="微软雅黑" w:cs="Arial"/>
          <w:color w:val="000000"/>
          <w:sz w:val="24"/>
          <w:szCs w:val="24"/>
        </w:rPr>
        <w:t>S</w:t>
      </w:r>
      <w:r>
        <w:rPr>
          <w:rFonts w:hint="eastAsia" w:ascii="微软雅黑" w:hAnsi="微软雅黑" w:eastAsia="微软雅黑" w:cs="Arial"/>
          <w:color w:val="000000"/>
          <w:sz w:val="24"/>
          <w:szCs w:val="24"/>
        </w:rPr>
        <w:t>简介（</w:t>
      </w:r>
      <w:r>
        <w:rPr>
          <w:rFonts w:ascii="微软雅黑" w:hAnsi="微软雅黑" w:eastAsia="微软雅黑" w:cs="Arial"/>
          <w:color w:val="000000"/>
          <w:sz w:val="24"/>
          <w:szCs w:val="24"/>
        </w:rPr>
        <w:t>对</w:t>
      </w:r>
      <w:r>
        <w:rPr>
          <w:rFonts w:hint="eastAsia" w:ascii="微软雅黑" w:hAnsi="微软雅黑" w:eastAsia="微软雅黑" w:cs="Arial"/>
          <w:color w:val="000000"/>
          <w:sz w:val="24"/>
          <w:szCs w:val="24"/>
        </w:rPr>
        <w:t>5</w:t>
      </w:r>
      <w:r>
        <w:rPr>
          <w:rFonts w:ascii="微软雅黑" w:hAnsi="微软雅黑" w:eastAsia="微软雅黑" w:cs="Arial"/>
          <w:color w:val="000000"/>
          <w:sz w:val="24"/>
          <w:szCs w:val="24"/>
        </w:rPr>
        <w:t>S的全新演绎）</w:t>
      </w:r>
    </w:p>
    <w:p>
      <w:pPr>
        <w:pStyle w:val="12"/>
        <w:numPr>
          <w:ilvl w:val="0"/>
          <w:numId w:val="7"/>
        </w:numPr>
        <w:spacing w:after="0" w:line="460" w:lineRule="exact"/>
        <w:rPr>
          <w:rFonts w:ascii="微软雅黑" w:hAnsi="微软雅黑" w:eastAsia="微软雅黑" w:cs="Arial"/>
          <w:color w:val="000000"/>
          <w:sz w:val="24"/>
          <w:szCs w:val="24"/>
        </w:rPr>
      </w:pPr>
      <w:r>
        <w:rPr>
          <w:rFonts w:hint="eastAsia" w:ascii="微软雅黑" w:hAnsi="微软雅黑" w:eastAsia="微软雅黑" w:cs="Arial"/>
          <w:color w:val="000000"/>
          <w:sz w:val="24"/>
          <w:szCs w:val="24"/>
        </w:rPr>
        <w:t>安全和</w:t>
      </w:r>
      <w:r>
        <w:rPr>
          <w:rFonts w:ascii="微软雅黑" w:hAnsi="微软雅黑" w:eastAsia="微软雅黑" w:cs="Arial"/>
          <w:color w:val="000000"/>
          <w:sz w:val="24"/>
          <w:szCs w:val="24"/>
        </w:rPr>
        <w:t>目视化管理</w:t>
      </w:r>
    </w:p>
    <w:p>
      <w:pPr>
        <w:pStyle w:val="12"/>
        <w:numPr>
          <w:ilvl w:val="0"/>
          <w:numId w:val="7"/>
        </w:numPr>
        <w:spacing w:after="0" w:line="460" w:lineRule="exact"/>
        <w:rPr>
          <w:rFonts w:ascii="微软雅黑" w:hAnsi="微软雅黑" w:eastAsia="微软雅黑" w:cs="Arial"/>
          <w:color w:val="000000"/>
          <w:sz w:val="24"/>
          <w:szCs w:val="24"/>
        </w:rPr>
      </w:pPr>
      <w:r>
        <w:rPr>
          <w:rFonts w:ascii="微软雅黑" w:hAnsi="微软雅黑" w:eastAsia="微软雅黑" w:cs="Arial"/>
          <w:color w:val="000000"/>
          <w:sz w:val="24"/>
          <w:szCs w:val="24"/>
        </w:rPr>
        <w:t>工作场所的安全标示和警告</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二、危险</w:t>
      </w:r>
      <w:r>
        <w:rPr>
          <w:rFonts w:ascii="微软雅黑" w:hAnsi="Times New Roman" w:eastAsia="微软雅黑" w:cs="微软雅黑"/>
          <w:bCs/>
          <w:color w:val="C45811"/>
          <w:w w:val="105"/>
          <w:sz w:val="24"/>
          <w:szCs w:val="24"/>
        </w:rPr>
        <w:t>化学品</w:t>
      </w:r>
      <w:r>
        <w:rPr>
          <w:rFonts w:hint="eastAsia" w:ascii="微软雅黑" w:hAnsi="Times New Roman" w:eastAsia="微软雅黑" w:cs="微软雅黑"/>
          <w:bCs/>
          <w:color w:val="C45811"/>
          <w:w w:val="105"/>
          <w:sz w:val="24"/>
          <w:szCs w:val="24"/>
        </w:rPr>
        <w:t>管理</w:t>
      </w:r>
    </w:p>
    <w:p>
      <w:pPr>
        <w:pStyle w:val="12"/>
        <w:numPr>
          <w:ilvl w:val="0"/>
          <w:numId w:val="8"/>
        </w:numPr>
        <w:spacing w:after="0" w:line="460" w:lineRule="exact"/>
        <w:rPr>
          <w:rFonts w:ascii="微软雅黑" w:hAnsi="微软雅黑" w:eastAsia="微软雅黑" w:cs="Arial"/>
          <w:color w:val="000000"/>
          <w:sz w:val="24"/>
          <w:szCs w:val="24"/>
        </w:rPr>
      </w:pPr>
      <w:r>
        <w:rPr>
          <w:rFonts w:hint="eastAsia" w:ascii="微软雅黑" w:hAnsi="微软雅黑" w:eastAsia="微软雅黑" w:cs="Arial"/>
          <w:color w:val="000000"/>
          <w:sz w:val="24"/>
          <w:szCs w:val="24"/>
        </w:rPr>
        <w:t>化学品分类以及化学品使用的相关法规核心内容介绍</w:t>
      </w:r>
    </w:p>
    <w:p>
      <w:pPr>
        <w:pStyle w:val="12"/>
        <w:numPr>
          <w:ilvl w:val="0"/>
          <w:numId w:val="8"/>
        </w:numPr>
        <w:spacing w:after="0" w:line="460" w:lineRule="exact"/>
        <w:rPr>
          <w:rFonts w:ascii="微软雅黑" w:hAnsi="微软雅黑" w:eastAsia="微软雅黑" w:cs="Arial"/>
          <w:color w:val="000000"/>
          <w:sz w:val="24"/>
          <w:szCs w:val="24"/>
        </w:rPr>
      </w:pPr>
      <w:r>
        <w:rPr>
          <w:rFonts w:hint="eastAsia" w:ascii="微软雅黑" w:hAnsi="微软雅黑" w:eastAsia="微软雅黑" w:cs="Arial"/>
          <w:color w:val="000000"/>
          <w:sz w:val="24"/>
          <w:szCs w:val="24"/>
        </w:rPr>
        <w:t>MSDS简介</w:t>
      </w:r>
    </w:p>
    <w:p>
      <w:pPr>
        <w:pStyle w:val="12"/>
        <w:numPr>
          <w:ilvl w:val="0"/>
          <w:numId w:val="8"/>
        </w:numPr>
        <w:spacing w:after="0" w:line="460" w:lineRule="exact"/>
        <w:rPr>
          <w:rFonts w:ascii="微软雅黑" w:hAnsi="微软雅黑" w:eastAsia="微软雅黑" w:cs="Arial"/>
          <w:color w:val="000000"/>
          <w:sz w:val="24"/>
          <w:szCs w:val="24"/>
        </w:rPr>
      </w:pPr>
      <w:r>
        <w:rPr>
          <w:rFonts w:hint="eastAsia" w:ascii="微软雅黑" w:hAnsi="微软雅黑" w:eastAsia="微软雅黑" w:cs="Arial"/>
          <w:color w:val="000000"/>
          <w:sz w:val="24"/>
          <w:szCs w:val="24"/>
        </w:rPr>
        <w:t>安全标签</w:t>
      </w:r>
      <w:r>
        <w:rPr>
          <w:rFonts w:ascii="微软雅黑" w:hAnsi="微软雅黑" w:eastAsia="微软雅黑" w:cs="Arial"/>
          <w:color w:val="000000"/>
          <w:sz w:val="24"/>
          <w:szCs w:val="24"/>
        </w:rPr>
        <w:t>—符合</w:t>
      </w:r>
      <w:r>
        <w:rPr>
          <w:rFonts w:hint="eastAsia" w:ascii="微软雅黑" w:hAnsi="微软雅黑" w:eastAsia="微软雅黑" w:cs="Arial"/>
          <w:color w:val="000000"/>
          <w:sz w:val="24"/>
          <w:szCs w:val="24"/>
        </w:rPr>
        <w:t>GHS要求的安全标签</w:t>
      </w:r>
    </w:p>
    <w:p>
      <w:pPr>
        <w:pStyle w:val="12"/>
        <w:numPr>
          <w:ilvl w:val="0"/>
          <w:numId w:val="8"/>
        </w:numPr>
        <w:spacing w:after="0" w:line="460" w:lineRule="exact"/>
        <w:rPr>
          <w:rFonts w:ascii="微软雅黑" w:hAnsi="微软雅黑" w:eastAsia="微软雅黑" w:cs="Arial"/>
          <w:color w:val="000000"/>
          <w:sz w:val="24"/>
          <w:szCs w:val="24"/>
        </w:rPr>
      </w:pPr>
      <w:r>
        <w:rPr>
          <w:rFonts w:hint="eastAsia" w:ascii="微软雅黑" w:hAnsi="微软雅黑" w:eastAsia="微软雅黑" w:cs="Arial"/>
          <w:color w:val="000000"/>
          <w:sz w:val="24"/>
          <w:szCs w:val="24"/>
        </w:rPr>
        <w:t>化学品</w:t>
      </w:r>
      <w:r>
        <w:rPr>
          <w:rFonts w:ascii="微软雅黑" w:hAnsi="微软雅黑" w:eastAsia="微软雅黑" w:cs="Arial"/>
          <w:color w:val="000000"/>
          <w:sz w:val="24"/>
          <w:szCs w:val="24"/>
        </w:rPr>
        <w:t>使用和储存一般要求</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三、ECPL 能源控制，动力上锁简介</w:t>
      </w:r>
    </w:p>
    <w:p>
      <w:pPr>
        <w:pStyle w:val="12"/>
        <w:numPr>
          <w:ilvl w:val="0"/>
          <w:numId w:val="9"/>
        </w:numPr>
        <w:spacing w:after="0" w:line="460" w:lineRule="exact"/>
        <w:rPr>
          <w:rFonts w:ascii="微软雅黑" w:hAnsi="微软雅黑" w:eastAsia="微软雅黑" w:cs="Times New Roman"/>
          <w:color w:val="000000"/>
        </w:rPr>
      </w:pPr>
      <w:r>
        <w:rPr>
          <w:rFonts w:hint="eastAsia" w:ascii="微软雅黑" w:hAnsi="微软雅黑" w:eastAsia="微软雅黑" w:cs="Times New Roman"/>
          <w:color w:val="000000"/>
        </w:rPr>
        <w:t>何为</w:t>
      </w:r>
      <w:r>
        <w:rPr>
          <w:rFonts w:ascii="微软雅黑" w:hAnsi="微软雅黑" w:eastAsia="微软雅黑" w:cs="Times New Roman"/>
          <w:color w:val="000000"/>
        </w:rPr>
        <w:t>上锁挂牌（LOTO）</w:t>
      </w:r>
    </w:p>
    <w:p>
      <w:pPr>
        <w:pStyle w:val="12"/>
        <w:numPr>
          <w:ilvl w:val="0"/>
          <w:numId w:val="9"/>
        </w:numPr>
        <w:spacing w:after="0" w:line="460" w:lineRule="exact"/>
        <w:rPr>
          <w:rFonts w:ascii="微软雅黑" w:hAnsi="微软雅黑" w:eastAsia="微软雅黑" w:cs="Times New Roman"/>
          <w:color w:val="000000"/>
        </w:rPr>
      </w:pPr>
      <w:r>
        <w:rPr>
          <w:rFonts w:ascii="微软雅黑" w:hAnsi="微软雅黑" w:eastAsia="微软雅黑" w:cs="Times New Roman"/>
          <w:color w:val="000000"/>
        </w:rPr>
        <w:t>ECPL和LOTO的区别</w:t>
      </w:r>
    </w:p>
    <w:p>
      <w:pPr>
        <w:pStyle w:val="12"/>
        <w:numPr>
          <w:ilvl w:val="0"/>
          <w:numId w:val="9"/>
        </w:numPr>
        <w:spacing w:after="0" w:line="460" w:lineRule="exact"/>
        <w:rPr>
          <w:rFonts w:ascii="微软雅黑" w:hAnsi="微软雅黑" w:eastAsia="微软雅黑" w:cs="Times New Roman"/>
          <w:color w:val="000000"/>
        </w:rPr>
      </w:pPr>
      <w:r>
        <w:rPr>
          <w:rFonts w:hint="eastAsia" w:ascii="微软雅黑" w:hAnsi="微软雅黑" w:eastAsia="微软雅黑" w:cs="Times New Roman"/>
          <w:color w:val="000000"/>
        </w:rPr>
        <w:t>ECPL</w:t>
      </w:r>
      <w:r>
        <w:rPr>
          <w:rFonts w:ascii="微软雅黑" w:hAnsi="微软雅黑" w:eastAsia="微软雅黑" w:cs="Times New Roman"/>
          <w:color w:val="000000"/>
        </w:rPr>
        <w:t>的六种模式</w:t>
      </w:r>
    </w:p>
    <w:p>
      <w:pPr>
        <w:pStyle w:val="12"/>
        <w:numPr>
          <w:ilvl w:val="0"/>
          <w:numId w:val="9"/>
        </w:numPr>
        <w:spacing w:after="0" w:line="460" w:lineRule="exact"/>
        <w:rPr>
          <w:rFonts w:ascii="微软雅黑" w:hAnsi="微软雅黑" w:eastAsia="微软雅黑" w:cs="宋体"/>
          <w:b/>
          <w:sz w:val="24"/>
          <w:szCs w:val="24"/>
        </w:rPr>
      </w:pPr>
      <w:r>
        <w:rPr>
          <w:rFonts w:hint="eastAsia" w:ascii="微软雅黑" w:hAnsi="微软雅黑" w:eastAsia="微软雅黑" w:cs="Times New Roman"/>
          <w:color w:val="000000"/>
        </w:rPr>
        <w:t>工厂</w:t>
      </w:r>
      <w:r>
        <w:rPr>
          <w:rFonts w:ascii="微软雅黑" w:hAnsi="微软雅黑" w:eastAsia="微软雅黑" w:cs="Times New Roman"/>
          <w:color w:val="000000"/>
        </w:rPr>
        <w:t>如何导入ECPL</w:t>
      </w:r>
    </w:p>
    <w:p>
      <w:pPr>
        <w:pStyle w:val="12"/>
        <w:numPr>
          <w:ilvl w:val="0"/>
          <w:numId w:val="9"/>
        </w:numPr>
        <w:spacing w:after="0" w:line="460" w:lineRule="exact"/>
        <w:rPr>
          <w:rFonts w:ascii="微软雅黑" w:hAnsi="微软雅黑" w:eastAsia="微软雅黑" w:cs="宋体"/>
          <w:b/>
          <w:sz w:val="24"/>
          <w:szCs w:val="24"/>
        </w:rPr>
      </w:pPr>
      <w:r>
        <w:rPr>
          <w:rFonts w:hint="eastAsia" w:ascii="微软雅黑" w:hAnsi="微软雅黑" w:eastAsia="微软雅黑" w:cs="Times New Roman"/>
          <w:color w:val="000000"/>
        </w:rPr>
        <w:t>死神任务</w:t>
      </w:r>
      <w:r>
        <w:rPr>
          <w:rFonts w:ascii="微软雅黑" w:hAnsi="微软雅黑" w:eastAsia="微软雅黑" w:cs="Times New Roman"/>
          <w:color w:val="000000"/>
        </w:rPr>
        <w:t>（视频</w:t>
      </w:r>
      <w:r>
        <w:rPr>
          <w:rFonts w:hint="eastAsia" w:ascii="微软雅黑" w:hAnsi="微软雅黑" w:eastAsia="微软雅黑" w:cs="Times New Roman"/>
          <w:color w:val="000000"/>
        </w:rPr>
        <w:t>）</w:t>
      </w:r>
    </w:p>
    <w:p>
      <w:pPr>
        <w:spacing w:after="0" w:line="460" w:lineRule="exact"/>
        <w:rPr>
          <w:rFonts w:ascii="微软雅黑" w:hAnsi="Times New Roman" w:eastAsia="微软雅黑" w:cs="微软雅黑"/>
          <w:bCs/>
          <w:color w:val="C45811"/>
          <w:w w:val="105"/>
          <w:sz w:val="24"/>
          <w:szCs w:val="24"/>
        </w:rPr>
      </w:pPr>
      <w:r>
        <w:rPr>
          <w:rFonts w:hint="eastAsia" w:ascii="微软雅黑" w:hAnsi="Times New Roman" w:eastAsia="微软雅黑" w:cs="微软雅黑"/>
          <w:bCs/>
          <w:color w:val="C45811"/>
          <w:w w:val="105"/>
          <w:sz w:val="24"/>
          <w:szCs w:val="24"/>
        </w:rPr>
        <w:t>四</w:t>
      </w:r>
      <w:r>
        <w:rPr>
          <w:rFonts w:ascii="微软雅黑" w:hAnsi="Times New Roman" w:eastAsia="微软雅黑" w:cs="微软雅黑"/>
          <w:bCs/>
          <w:color w:val="C45811"/>
          <w:w w:val="105"/>
          <w:sz w:val="24"/>
          <w:szCs w:val="24"/>
        </w:rPr>
        <w:t>、应急准备和响应简介</w:t>
      </w:r>
    </w:p>
    <w:p>
      <w:pPr>
        <w:pStyle w:val="12"/>
        <w:numPr>
          <w:ilvl w:val="0"/>
          <w:numId w:val="10"/>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三级</w:t>
      </w:r>
      <w:r>
        <w:rPr>
          <w:rFonts w:ascii="微软雅黑" w:hAnsi="微软雅黑" w:eastAsia="微软雅黑" w:cs="宋体"/>
          <w:color w:val="333333"/>
          <w:sz w:val="24"/>
          <w:szCs w:val="24"/>
        </w:rPr>
        <w:t>应急准备和响应机制</w:t>
      </w:r>
    </w:p>
    <w:p>
      <w:pPr>
        <w:pStyle w:val="12"/>
        <w:numPr>
          <w:ilvl w:val="0"/>
          <w:numId w:val="10"/>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危险化学品</w:t>
      </w:r>
      <w:r>
        <w:rPr>
          <w:rFonts w:ascii="微软雅黑" w:hAnsi="微软雅黑" w:eastAsia="微软雅黑" w:cs="宋体"/>
          <w:color w:val="333333"/>
          <w:sz w:val="24"/>
          <w:szCs w:val="24"/>
        </w:rPr>
        <w:t>泄露的</w:t>
      </w:r>
      <w:r>
        <w:rPr>
          <w:rFonts w:hint="eastAsia" w:ascii="微软雅黑" w:hAnsi="微软雅黑" w:eastAsia="微软雅黑" w:cs="宋体"/>
          <w:color w:val="333333"/>
          <w:sz w:val="24"/>
          <w:szCs w:val="24"/>
        </w:rPr>
        <w:t>一般</w:t>
      </w:r>
      <w:r>
        <w:rPr>
          <w:rFonts w:ascii="微软雅黑" w:hAnsi="微软雅黑" w:eastAsia="微软雅黑" w:cs="宋体"/>
          <w:color w:val="333333"/>
          <w:sz w:val="24"/>
          <w:szCs w:val="24"/>
        </w:rPr>
        <w:t>应急响应流程</w:t>
      </w:r>
    </w:p>
    <w:p>
      <w:pPr>
        <w:pStyle w:val="12"/>
        <w:numPr>
          <w:ilvl w:val="0"/>
          <w:numId w:val="10"/>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火灾的一般</w:t>
      </w:r>
      <w:r>
        <w:rPr>
          <w:rFonts w:ascii="微软雅黑" w:hAnsi="微软雅黑" w:eastAsia="微软雅黑" w:cs="宋体"/>
          <w:color w:val="333333"/>
          <w:sz w:val="24"/>
          <w:szCs w:val="24"/>
        </w:rPr>
        <w:t>应急响应流程</w:t>
      </w:r>
    </w:p>
    <w:p>
      <w:pPr>
        <w:pStyle w:val="12"/>
        <w:numPr>
          <w:ilvl w:val="0"/>
          <w:numId w:val="10"/>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桌面</w:t>
      </w:r>
      <w:r>
        <w:rPr>
          <w:rFonts w:ascii="微软雅黑" w:hAnsi="微软雅黑" w:eastAsia="微软雅黑" w:cs="宋体"/>
          <w:color w:val="333333"/>
          <w:sz w:val="24"/>
          <w:szCs w:val="24"/>
        </w:rPr>
        <w:t>演练简介</w:t>
      </w:r>
    </w:p>
    <w:p>
      <w:pPr>
        <w:pStyle w:val="12"/>
        <w:numPr>
          <w:ilvl w:val="0"/>
          <w:numId w:val="10"/>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应急准备</w:t>
      </w:r>
      <w:r>
        <w:rPr>
          <w:rFonts w:ascii="微软雅黑" w:hAnsi="微软雅黑" w:eastAsia="微软雅黑" w:cs="宋体"/>
          <w:color w:val="333333"/>
          <w:sz w:val="24"/>
          <w:szCs w:val="24"/>
        </w:rPr>
        <w:t>和响应实战模拟—工厂实战视频</w:t>
      </w:r>
    </w:p>
    <w:p>
      <w:p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highlight w:val="yellow"/>
        </w:rPr>
        <w:t>第三讲可选模块如下图：</w:t>
      </w:r>
    </w:p>
    <w:p>
      <w:pPr>
        <w:spacing w:after="0" w:line="460" w:lineRule="exact"/>
        <w:rPr>
          <w:rFonts w:ascii="微软雅黑" w:hAnsi="微软雅黑" w:eastAsia="微软雅黑" w:cs="宋体"/>
          <w:color w:val="333333"/>
          <w:sz w:val="24"/>
          <w:szCs w:val="24"/>
        </w:rPr>
      </w:pPr>
      <w:r>
        <w:rPr>
          <w:rFonts w:ascii="微软雅黑" w:hAnsi="微软雅黑" w:eastAsia="微软雅黑"/>
          <w:sz w:val="24"/>
          <w:szCs w:val="24"/>
        </w:rPr>
        <w:drawing>
          <wp:anchor distT="0" distB="0" distL="114300" distR="114300" simplePos="0" relativeHeight="251659264" behindDoc="0" locked="0" layoutInCell="1" allowOverlap="1">
            <wp:simplePos x="0" y="0"/>
            <wp:positionH relativeFrom="column">
              <wp:posOffset>0</wp:posOffset>
            </wp:positionH>
            <wp:positionV relativeFrom="paragraph">
              <wp:posOffset>290830</wp:posOffset>
            </wp:positionV>
            <wp:extent cx="4182110" cy="2033905"/>
            <wp:effectExtent l="0" t="0" r="8890" b="444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82110" cy="2033905"/>
                    </a:xfrm>
                    <a:prstGeom prst="rect">
                      <a:avLst/>
                    </a:prstGeom>
                  </pic:spPr>
                </pic:pic>
              </a:graphicData>
            </a:graphic>
          </wp:anchor>
        </w:drawing>
      </w:r>
    </w:p>
    <w:p>
      <w:pPr>
        <w:pStyle w:val="3"/>
        <w:kinsoku w:val="0"/>
        <w:overflowPunct w:val="0"/>
        <w:spacing w:before="0" w:line="460" w:lineRule="exact"/>
        <w:ind w:left="0" w:right="3537"/>
        <w:rPr>
          <w:rFonts w:hAnsi="微软雅黑"/>
          <w:b/>
          <w:bCs/>
          <w:color w:val="1F4E79"/>
          <w:spacing w:val="1"/>
          <w:w w:val="105"/>
          <w:sz w:val="24"/>
          <w:szCs w:val="24"/>
        </w:rPr>
      </w:pPr>
      <w:r>
        <w:rPr>
          <w:rFonts w:hint="eastAsia" w:hAnsi="微软雅黑"/>
          <w:b/>
          <w:bCs/>
          <w:color w:val="1F4E79"/>
          <w:spacing w:val="1"/>
          <w:w w:val="105"/>
          <w:sz w:val="24"/>
          <w:szCs w:val="24"/>
        </w:rPr>
        <w:t>第四讲、安全行为观察（Check</w:t>
      </w:r>
      <w:r>
        <w:rPr>
          <w:rFonts w:hAnsi="微软雅黑"/>
          <w:b/>
          <w:bCs/>
          <w:color w:val="1F4E79"/>
          <w:spacing w:val="1"/>
          <w:w w:val="105"/>
          <w:sz w:val="24"/>
          <w:szCs w:val="24"/>
        </w:rPr>
        <w:t>）</w:t>
      </w:r>
    </w:p>
    <w:p>
      <w:pPr>
        <w:pStyle w:val="12"/>
        <w:numPr>
          <w:ilvl w:val="0"/>
          <w:numId w:val="11"/>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行为安全观察简介</w:t>
      </w:r>
    </w:p>
    <w:p>
      <w:pPr>
        <w:pStyle w:val="12"/>
        <w:numPr>
          <w:ilvl w:val="0"/>
          <w:numId w:val="11"/>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如何开展安全行为观察</w:t>
      </w:r>
    </w:p>
    <w:p>
      <w:pPr>
        <w:pStyle w:val="12"/>
        <w:numPr>
          <w:ilvl w:val="0"/>
          <w:numId w:val="11"/>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安全行为观察案例</w:t>
      </w:r>
    </w:p>
    <w:p>
      <w:pPr>
        <w:spacing w:after="0" w:line="460" w:lineRule="exact"/>
        <w:rPr>
          <w:rFonts w:ascii="微软雅黑" w:hAnsi="微软雅黑" w:eastAsia="微软雅黑" w:cs="宋体"/>
          <w:b/>
          <w:color w:val="333333"/>
          <w:sz w:val="24"/>
          <w:szCs w:val="24"/>
        </w:rPr>
      </w:pPr>
    </w:p>
    <w:p>
      <w:pPr>
        <w:pStyle w:val="3"/>
        <w:kinsoku w:val="0"/>
        <w:overflowPunct w:val="0"/>
        <w:spacing w:before="0" w:line="460" w:lineRule="exact"/>
        <w:ind w:left="0" w:right="3537"/>
        <w:rPr>
          <w:rFonts w:hAnsi="微软雅黑"/>
          <w:b/>
          <w:bCs/>
          <w:color w:val="1F4E79"/>
          <w:spacing w:val="1"/>
          <w:w w:val="105"/>
          <w:sz w:val="24"/>
          <w:szCs w:val="24"/>
        </w:rPr>
      </w:pPr>
      <w:r>
        <w:rPr>
          <w:rFonts w:hint="eastAsia" w:hAnsi="微软雅黑"/>
          <w:b/>
          <w:bCs/>
          <w:color w:val="1F4E79"/>
          <w:spacing w:val="1"/>
          <w:w w:val="105"/>
          <w:sz w:val="24"/>
          <w:szCs w:val="24"/>
        </w:rPr>
        <w:t>第五讲、事故预防与事件调查 （</w:t>
      </w:r>
      <w:r>
        <w:rPr>
          <w:rFonts w:hAnsi="微软雅黑"/>
          <w:b/>
          <w:bCs/>
          <w:color w:val="1F4E79"/>
          <w:spacing w:val="1"/>
          <w:w w:val="105"/>
          <w:sz w:val="24"/>
          <w:szCs w:val="24"/>
        </w:rPr>
        <w:t>Act）</w:t>
      </w:r>
    </w:p>
    <w:p>
      <w:pPr>
        <w:pStyle w:val="12"/>
        <w:numPr>
          <w:ilvl w:val="0"/>
          <w:numId w:val="12"/>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事故调查</w:t>
      </w:r>
      <w:r>
        <w:rPr>
          <w:rFonts w:ascii="微软雅黑" w:hAnsi="微软雅黑" w:eastAsia="微软雅黑" w:cs="宋体"/>
          <w:color w:val="333333"/>
          <w:sz w:val="24"/>
          <w:szCs w:val="24"/>
        </w:rPr>
        <w:t>的流程</w:t>
      </w:r>
    </w:p>
    <w:p>
      <w:pPr>
        <w:pStyle w:val="12"/>
        <w:numPr>
          <w:ilvl w:val="0"/>
          <w:numId w:val="12"/>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事故调查</w:t>
      </w:r>
      <w:r>
        <w:rPr>
          <w:rFonts w:ascii="微软雅黑" w:hAnsi="微软雅黑" w:eastAsia="微软雅黑" w:cs="宋体"/>
          <w:color w:val="333333"/>
          <w:sz w:val="24"/>
          <w:szCs w:val="24"/>
        </w:rPr>
        <w:t>之原因分析的</w:t>
      </w:r>
      <w:r>
        <w:rPr>
          <w:rFonts w:hint="eastAsia" w:ascii="微软雅黑" w:hAnsi="微软雅黑" w:eastAsia="微软雅黑" w:cs="宋体"/>
          <w:color w:val="333333"/>
          <w:sz w:val="24"/>
          <w:szCs w:val="24"/>
        </w:rPr>
        <w:t>思路</w:t>
      </w:r>
      <w:r>
        <w:rPr>
          <w:rFonts w:ascii="微软雅黑" w:hAnsi="微软雅黑" w:eastAsia="微软雅黑" w:cs="宋体"/>
          <w:color w:val="333333"/>
          <w:sz w:val="24"/>
          <w:szCs w:val="24"/>
        </w:rPr>
        <w:t>—2*5Why</w:t>
      </w:r>
    </w:p>
    <w:p>
      <w:pPr>
        <w:pStyle w:val="12"/>
        <w:numPr>
          <w:ilvl w:val="0"/>
          <w:numId w:val="12"/>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事故的</w:t>
      </w:r>
      <w:r>
        <w:rPr>
          <w:rFonts w:ascii="微软雅黑" w:hAnsi="微软雅黑" w:eastAsia="微软雅黑" w:cs="宋体"/>
          <w:color w:val="333333"/>
          <w:sz w:val="24"/>
          <w:szCs w:val="24"/>
        </w:rPr>
        <w:t>代价—视频</w:t>
      </w:r>
    </w:p>
    <w:p>
      <w:pPr>
        <w:spacing w:after="0" w:line="460" w:lineRule="exact"/>
        <w:rPr>
          <w:rFonts w:ascii="微软雅黑" w:hAnsi="微软雅黑" w:eastAsia="微软雅黑" w:cs="宋体"/>
          <w:color w:val="333333"/>
          <w:sz w:val="24"/>
          <w:szCs w:val="24"/>
        </w:rPr>
      </w:pPr>
    </w:p>
    <w:p>
      <w:pPr>
        <w:pStyle w:val="3"/>
        <w:kinsoku w:val="0"/>
        <w:overflowPunct w:val="0"/>
        <w:spacing w:before="0" w:line="460" w:lineRule="exact"/>
        <w:ind w:left="0" w:right="3537"/>
        <w:rPr>
          <w:rFonts w:hAnsi="微软雅黑"/>
          <w:b/>
          <w:bCs/>
          <w:color w:val="1F4E79"/>
          <w:spacing w:val="1"/>
          <w:w w:val="105"/>
          <w:sz w:val="24"/>
          <w:szCs w:val="24"/>
        </w:rPr>
      </w:pPr>
      <w:r>
        <w:rPr>
          <w:rFonts w:hint="eastAsia" w:hAnsi="微软雅黑"/>
          <w:b/>
          <w:bCs/>
          <w:color w:val="1F4E79"/>
          <w:spacing w:val="1"/>
          <w:w w:val="105"/>
          <w:sz w:val="24"/>
          <w:szCs w:val="24"/>
        </w:rPr>
        <w:t>第六讲、培训员工，持续改善</w:t>
      </w:r>
    </w:p>
    <w:p>
      <w:pPr>
        <w:pStyle w:val="12"/>
        <w:numPr>
          <w:ilvl w:val="0"/>
          <w:numId w:val="1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新时代</w:t>
      </w:r>
      <w:r>
        <w:rPr>
          <w:rFonts w:ascii="微软雅黑" w:hAnsi="微软雅黑" w:eastAsia="微软雅黑" w:cs="宋体"/>
          <w:color w:val="333333"/>
          <w:sz w:val="24"/>
          <w:szCs w:val="24"/>
        </w:rPr>
        <w:t>员工的特色</w:t>
      </w:r>
    </w:p>
    <w:p>
      <w:pPr>
        <w:pStyle w:val="12"/>
        <w:numPr>
          <w:ilvl w:val="0"/>
          <w:numId w:val="13"/>
        </w:numPr>
        <w:spacing w:after="0" w:line="460" w:lineRule="exact"/>
        <w:rPr>
          <w:rFonts w:ascii="微软雅黑" w:hAnsi="微软雅黑" w:eastAsia="微软雅黑" w:cs="宋体"/>
          <w:color w:val="333333"/>
          <w:sz w:val="24"/>
          <w:szCs w:val="24"/>
        </w:rPr>
      </w:pPr>
      <w:r>
        <w:rPr>
          <w:rFonts w:hint="eastAsia" w:ascii="微软雅黑" w:hAnsi="微软雅黑" w:eastAsia="微软雅黑" w:cs="宋体"/>
          <w:color w:val="333333"/>
          <w:sz w:val="24"/>
          <w:szCs w:val="24"/>
        </w:rPr>
        <w:t>OJT</w:t>
      </w:r>
      <w:r>
        <w:rPr>
          <w:rFonts w:ascii="微软雅黑" w:hAnsi="微软雅黑" w:eastAsia="微软雅黑" w:cs="宋体"/>
          <w:color w:val="333333"/>
          <w:sz w:val="24"/>
          <w:szCs w:val="24"/>
        </w:rPr>
        <w:t>培训</w:t>
      </w:r>
      <w:r>
        <w:rPr>
          <w:rFonts w:hint="eastAsia" w:ascii="微软雅黑" w:hAnsi="微软雅黑" w:eastAsia="微软雅黑" w:cs="宋体"/>
          <w:color w:val="333333"/>
          <w:sz w:val="24"/>
          <w:szCs w:val="24"/>
        </w:rPr>
        <w:t>（</w:t>
      </w:r>
      <w:r>
        <w:rPr>
          <w:rFonts w:ascii="微软雅黑" w:hAnsi="微软雅黑" w:eastAsia="微软雅黑" w:cs="宋体"/>
          <w:color w:val="333333"/>
          <w:sz w:val="24"/>
          <w:szCs w:val="24"/>
        </w:rPr>
        <w:t>OJT四阶段法—现场互动练习</w:t>
      </w:r>
      <w:r>
        <w:rPr>
          <w:rFonts w:hint="eastAsia" w:ascii="微软雅黑" w:hAnsi="微软雅黑" w:eastAsia="微软雅黑" w:cs="宋体"/>
          <w:color w:val="333333"/>
          <w:sz w:val="24"/>
          <w:szCs w:val="24"/>
        </w:rPr>
        <w:t>）</w:t>
      </w:r>
    </w:p>
    <w:p>
      <w:pPr>
        <w:pStyle w:val="12"/>
        <w:numPr>
          <w:ilvl w:val="0"/>
          <w:numId w:val="13"/>
        </w:numPr>
        <w:spacing w:after="0" w:line="460" w:lineRule="exact"/>
        <w:rPr>
          <w:rFonts w:ascii="微软雅黑" w:hAnsi="微软雅黑" w:eastAsia="微软雅黑" w:cs="宋体"/>
          <w:b/>
          <w:color w:val="333333"/>
          <w:sz w:val="24"/>
          <w:szCs w:val="24"/>
        </w:rPr>
      </w:pPr>
      <w:r>
        <w:rPr>
          <w:rFonts w:hint="eastAsia" w:ascii="微软雅黑" w:hAnsi="微软雅黑" w:eastAsia="微软雅黑" w:cs="Times New Roman"/>
          <w:color w:val="000000"/>
        </w:rPr>
        <w:t>持续改善，精益求精</w:t>
      </w:r>
      <w:bookmarkStart w:id="1" w:name="_GoBack"/>
      <w:bookmarkEnd w:id="1"/>
    </w:p>
    <w:p>
      <w:pPr>
        <w:spacing w:after="0" w:line="460" w:lineRule="exact"/>
      </w:pPr>
      <w:r>
        <w:rPr>
          <w:rFonts w:hint="eastAsia" w:ascii="微软雅黑" w:hAnsi="微软雅黑" w:eastAsia="微软雅黑" w:cs="宋体"/>
          <w:b/>
          <w:color w:val="333333"/>
          <w:sz w:val="24"/>
          <w:szCs w:val="24"/>
        </w:rPr>
        <w:t>Q&amp;A</w:t>
      </w:r>
    </w:p>
    <w:sectPr>
      <w:footerReference r:id="rId5" w:type="default"/>
      <w:pgSz w:w="12240" w:h="15840"/>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t>1</w:t>
    </w:r>
    <w:r>
      <w:fldChar w:fldCharType="end"/>
    </w:r>
    <w:r>
      <w:rPr>
        <w:rFonts w:hint="eastAsia"/>
      </w:rPr>
      <w:t>/</w:t>
    </w:r>
    <w:r>
      <w:fldChar w:fldCharType="begin"/>
    </w:r>
    <w:r>
      <w:instrText xml:space="preserve"> SECTIONPAGES  \* Arabic  \* MERGEFORMAT </w:instrText>
    </w:r>
    <w:r>
      <w:fldChar w:fldCharType="separate"/>
    </w:r>
    <w: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667BB3"/>
    <w:multiLevelType w:val="multilevel"/>
    <w:tmpl w:val="0F667BB3"/>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
    <w:nsid w:val="15384285"/>
    <w:multiLevelType w:val="multilevel"/>
    <w:tmpl w:val="15384285"/>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2">
    <w:nsid w:val="21F444EB"/>
    <w:multiLevelType w:val="multilevel"/>
    <w:tmpl w:val="21F444EB"/>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3">
    <w:nsid w:val="242261A8"/>
    <w:multiLevelType w:val="multilevel"/>
    <w:tmpl w:val="242261A8"/>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4">
    <w:nsid w:val="2D8872A8"/>
    <w:multiLevelType w:val="multilevel"/>
    <w:tmpl w:val="2D8872A8"/>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5">
    <w:nsid w:val="485946A1"/>
    <w:multiLevelType w:val="multilevel"/>
    <w:tmpl w:val="485946A1"/>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6">
    <w:nsid w:val="4B292152"/>
    <w:multiLevelType w:val="multilevel"/>
    <w:tmpl w:val="4B292152"/>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7">
    <w:nsid w:val="4D5E6184"/>
    <w:multiLevelType w:val="multilevel"/>
    <w:tmpl w:val="4D5E6184"/>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8">
    <w:nsid w:val="57E70751"/>
    <w:multiLevelType w:val="multilevel"/>
    <w:tmpl w:val="57E70751"/>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9">
    <w:nsid w:val="5A58252A"/>
    <w:multiLevelType w:val="multilevel"/>
    <w:tmpl w:val="5A58252A"/>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0">
    <w:nsid w:val="684E5324"/>
    <w:multiLevelType w:val="multilevel"/>
    <w:tmpl w:val="684E5324"/>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1">
    <w:nsid w:val="6B29437D"/>
    <w:multiLevelType w:val="multilevel"/>
    <w:tmpl w:val="6B29437D"/>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2">
    <w:nsid w:val="6F334CB4"/>
    <w:multiLevelType w:val="multilevel"/>
    <w:tmpl w:val="6F334CB4"/>
    <w:lvl w:ilvl="0" w:tentative="0">
      <w:start w:val="1"/>
      <w:numFmt w:val="upperLetter"/>
      <w:lvlText w:val="%1."/>
      <w:lvlJc w:val="left"/>
      <w:pPr>
        <w:ind w:left="428" w:hanging="360"/>
      </w:pPr>
      <w:rPr>
        <w:rFonts w:hint="default"/>
      </w:rPr>
    </w:lvl>
    <w:lvl w:ilvl="1" w:tentative="0">
      <w:start w:val="1"/>
      <w:numFmt w:val="lowerLetter"/>
      <w:lvlText w:val="%2."/>
      <w:lvlJc w:val="left"/>
      <w:pPr>
        <w:ind w:left="1148" w:hanging="360"/>
      </w:pPr>
    </w:lvl>
    <w:lvl w:ilvl="2" w:tentative="0">
      <w:start w:val="1"/>
      <w:numFmt w:val="lowerRoman"/>
      <w:lvlText w:val="%3."/>
      <w:lvlJc w:val="right"/>
      <w:pPr>
        <w:ind w:left="1868" w:hanging="180"/>
      </w:pPr>
    </w:lvl>
    <w:lvl w:ilvl="3" w:tentative="0">
      <w:start w:val="1"/>
      <w:numFmt w:val="decimal"/>
      <w:lvlText w:val="%4."/>
      <w:lvlJc w:val="left"/>
      <w:pPr>
        <w:ind w:left="2588" w:hanging="360"/>
      </w:pPr>
    </w:lvl>
    <w:lvl w:ilvl="4" w:tentative="0">
      <w:start w:val="1"/>
      <w:numFmt w:val="lowerLetter"/>
      <w:lvlText w:val="%5."/>
      <w:lvlJc w:val="left"/>
      <w:pPr>
        <w:ind w:left="3308" w:hanging="360"/>
      </w:pPr>
    </w:lvl>
    <w:lvl w:ilvl="5" w:tentative="0">
      <w:start w:val="1"/>
      <w:numFmt w:val="lowerRoman"/>
      <w:lvlText w:val="%6."/>
      <w:lvlJc w:val="right"/>
      <w:pPr>
        <w:ind w:left="4028" w:hanging="180"/>
      </w:pPr>
    </w:lvl>
    <w:lvl w:ilvl="6" w:tentative="0">
      <w:start w:val="1"/>
      <w:numFmt w:val="decimal"/>
      <w:lvlText w:val="%7."/>
      <w:lvlJc w:val="left"/>
      <w:pPr>
        <w:ind w:left="4748" w:hanging="360"/>
      </w:pPr>
    </w:lvl>
    <w:lvl w:ilvl="7" w:tentative="0">
      <w:start w:val="1"/>
      <w:numFmt w:val="lowerLetter"/>
      <w:lvlText w:val="%8."/>
      <w:lvlJc w:val="left"/>
      <w:pPr>
        <w:ind w:left="5468" w:hanging="360"/>
      </w:pPr>
    </w:lvl>
    <w:lvl w:ilvl="8" w:tentative="0">
      <w:start w:val="1"/>
      <w:numFmt w:val="lowerRoman"/>
      <w:lvlText w:val="%9."/>
      <w:lvlJc w:val="right"/>
      <w:pPr>
        <w:ind w:left="6188" w:hanging="180"/>
      </w:pPr>
    </w:lvl>
  </w:abstractNum>
  <w:num w:numId="1">
    <w:abstractNumId w:val="5"/>
  </w:num>
  <w:num w:numId="2">
    <w:abstractNumId w:val="12"/>
  </w:num>
  <w:num w:numId="3">
    <w:abstractNumId w:val="11"/>
  </w:num>
  <w:num w:numId="4">
    <w:abstractNumId w:val="6"/>
  </w:num>
  <w:num w:numId="5">
    <w:abstractNumId w:val="3"/>
  </w:num>
  <w:num w:numId="6">
    <w:abstractNumId w:val="8"/>
  </w:num>
  <w:num w:numId="7">
    <w:abstractNumId w:val="0"/>
  </w:num>
  <w:num w:numId="8">
    <w:abstractNumId w:val="7"/>
  </w:num>
  <w:num w:numId="9">
    <w:abstractNumId w:val="2"/>
  </w:num>
  <w:num w:numId="10">
    <w:abstractNumId w:val="9"/>
  </w:num>
  <w:num w:numId="11">
    <w:abstractNumId w:val="4"/>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F19"/>
    <w:rsid w:val="00067B43"/>
    <w:rsid w:val="000E0F19"/>
    <w:rsid w:val="0010319B"/>
    <w:rsid w:val="00177D7F"/>
    <w:rsid w:val="002157DB"/>
    <w:rsid w:val="002D4986"/>
    <w:rsid w:val="002F262B"/>
    <w:rsid w:val="0032498C"/>
    <w:rsid w:val="00340EBE"/>
    <w:rsid w:val="00450FF4"/>
    <w:rsid w:val="004515D4"/>
    <w:rsid w:val="00483792"/>
    <w:rsid w:val="004D0BDB"/>
    <w:rsid w:val="00537669"/>
    <w:rsid w:val="0058327F"/>
    <w:rsid w:val="005E7CC0"/>
    <w:rsid w:val="00703D31"/>
    <w:rsid w:val="00712E8D"/>
    <w:rsid w:val="0076183A"/>
    <w:rsid w:val="007F1ACC"/>
    <w:rsid w:val="008803B4"/>
    <w:rsid w:val="008803E7"/>
    <w:rsid w:val="009016EF"/>
    <w:rsid w:val="009231AE"/>
    <w:rsid w:val="00976180"/>
    <w:rsid w:val="009851C3"/>
    <w:rsid w:val="00A123BB"/>
    <w:rsid w:val="00A2762F"/>
    <w:rsid w:val="00A54790"/>
    <w:rsid w:val="00A9379F"/>
    <w:rsid w:val="00BA0BE7"/>
    <w:rsid w:val="00BD2060"/>
    <w:rsid w:val="00BD2099"/>
    <w:rsid w:val="00D13312"/>
    <w:rsid w:val="00D52B00"/>
    <w:rsid w:val="00EC6572"/>
    <w:rsid w:val="00F33AB5"/>
    <w:rsid w:val="4DCD5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paragraph" w:styleId="2">
    <w:name w:val="heading 1"/>
    <w:basedOn w:val="1"/>
    <w:next w:val="1"/>
    <w:link w:val="13"/>
    <w:unhideWhenUsed/>
    <w:qFormat/>
    <w:uiPriority w:val="1"/>
    <w:pPr>
      <w:pBdr>
        <w:right w:val="single" w:color="5B9BD5" w:themeColor="accent1" w:sz="8" w:space="4"/>
      </w:pBdr>
      <w:spacing w:after="0" w:line="240" w:lineRule="auto"/>
      <w:jc w:val="right"/>
      <w:outlineLvl w:val="0"/>
    </w:pPr>
    <w:rPr>
      <w:rFonts w:eastAsia="Microsoft YaHei UI"/>
      <w:b/>
      <w:bCs/>
      <w:caps/>
      <w:color w:val="5B9BD5" w:themeColor="accent1"/>
      <w:kern w:val="20"/>
      <w:sz w:val="18"/>
      <w:szCs w:val="18"/>
      <w14:textFill>
        <w14:solidFill>
          <w14:schemeClr w14:val="accent1"/>
        </w14:solidFill>
      </w14:textFill>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qFormat/>
    <w:uiPriority w:val="1"/>
    <w:pPr>
      <w:widowControl w:val="0"/>
      <w:autoSpaceDE w:val="0"/>
      <w:autoSpaceDN w:val="0"/>
      <w:adjustRightInd w:val="0"/>
      <w:spacing w:before="50" w:after="0" w:line="240" w:lineRule="auto"/>
      <w:ind w:left="104"/>
    </w:pPr>
    <w:rPr>
      <w:rFonts w:ascii="微软雅黑" w:hAnsi="Times New Roman" w:eastAsia="微软雅黑" w:cs="微软雅黑"/>
      <w:sz w:val="17"/>
      <w:szCs w:val="17"/>
    </w:rPr>
  </w:style>
  <w:style w:type="paragraph" w:styleId="4">
    <w:name w:val="footer"/>
    <w:basedOn w:val="1"/>
    <w:link w:val="10"/>
    <w:unhideWhenUsed/>
    <w:qFormat/>
    <w:uiPriority w:val="99"/>
    <w:pPr>
      <w:tabs>
        <w:tab w:val="center" w:pos="4320"/>
        <w:tab w:val="right" w:pos="8640"/>
      </w:tabs>
      <w:spacing w:after="0" w:line="240" w:lineRule="auto"/>
    </w:pPr>
  </w:style>
  <w:style w:type="paragraph" w:styleId="5">
    <w:name w:val="header"/>
    <w:basedOn w:val="1"/>
    <w:link w:val="9"/>
    <w:unhideWhenUsed/>
    <w:uiPriority w:val="99"/>
    <w:pPr>
      <w:tabs>
        <w:tab w:val="center" w:pos="4320"/>
        <w:tab w:val="right" w:pos="8640"/>
      </w:tabs>
      <w:spacing w:after="0" w:line="240" w:lineRule="auto"/>
    </w:pPr>
  </w:style>
  <w:style w:type="character" w:styleId="8">
    <w:name w:val="Hyperlink"/>
    <w:basedOn w:val="7"/>
    <w:semiHidden/>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5"/>
    <w:qFormat/>
    <w:uiPriority w:val="99"/>
  </w:style>
  <w:style w:type="character" w:customStyle="1" w:styleId="10">
    <w:name w:val="页脚 字符"/>
    <w:basedOn w:val="7"/>
    <w:link w:val="4"/>
    <w:qFormat/>
    <w:uiPriority w:val="99"/>
  </w:style>
  <w:style w:type="character" w:customStyle="1" w:styleId="11">
    <w:name w:val="正文文本 字符"/>
    <w:basedOn w:val="7"/>
    <w:link w:val="3"/>
    <w:uiPriority w:val="99"/>
    <w:rPr>
      <w:rFonts w:ascii="微软雅黑" w:hAnsi="Times New Roman" w:eastAsia="微软雅黑" w:cs="微软雅黑"/>
      <w:sz w:val="17"/>
      <w:szCs w:val="17"/>
    </w:rPr>
  </w:style>
  <w:style w:type="paragraph" w:styleId="12">
    <w:name w:val="List Paragraph"/>
    <w:basedOn w:val="1"/>
    <w:qFormat/>
    <w:uiPriority w:val="34"/>
    <w:pPr>
      <w:ind w:left="720"/>
      <w:contextualSpacing/>
    </w:pPr>
  </w:style>
  <w:style w:type="character" w:customStyle="1" w:styleId="13">
    <w:name w:val="标题 1 字符"/>
    <w:basedOn w:val="7"/>
    <w:link w:val="2"/>
    <w:qFormat/>
    <w:uiPriority w:val="1"/>
    <w:rPr>
      <w:rFonts w:eastAsia="Microsoft YaHei UI"/>
      <w:b/>
      <w:bCs/>
      <w:caps/>
      <w:color w:val="5B9BD5" w:themeColor="accent1"/>
      <w:kern w:val="20"/>
      <w:sz w:val="18"/>
      <w:szCs w:val="18"/>
      <w14:textFill>
        <w14:solidFill>
          <w14:schemeClr w14:val="accent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IT</Company>
  <Pages>1</Pages>
  <Words>241</Words>
  <Characters>1376</Characters>
  <Lines>11</Lines>
  <Paragraphs>3</Paragraphs>
  <TotalTime>465</TotalTime>
  <ScaleCrop>false</ScaleCrop>
  <LinksUpToDate>false</LinksUpToDate>
  <CharactersWithSpaces>1614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2017-03-16T01:10:00Z</dcterms:created>
  <dc:creator>Rise Zhao</dc:creator>
  <cp:lastModifiedBy>中国讲师网尹老师</cp:lastModifiedBy>
  <dcterms:modified xsi:type="dcterms:W3CDTF">2021-05-26T07:02:50Z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89AE0BF21A76406E908C0C8912D06DE9</vt:lpwstr>
  </property>
</Properties>
</file>