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 xml:space="preserve"> 《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国有企业资本运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与产权交易实务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》提纲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第一讲  资本运作概述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资本的含义、特点、属性、构成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资本的含义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资本的特点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（三）资本的属性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（四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）资本的构成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资本运作的含义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资本运作的两个层次：狭义、广义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0070C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四、资本运作的原则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五、资本运作的特点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六、资本运作的风险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七、资本运作方式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（一）资本运作的一般方式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（二）按照资本运作的扩张与收缩方式分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（三）按照资本运作的内涵和外延方式分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八、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国有企业资本运作的四个维度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（一）业务维度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（二）资产维度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（三）资本维度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（四）资金维度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九、</w:t>
      </w:r>
      <w:r>
        <w:rPr>
          <w:rFonts w:hint="eastAsia" w:ascii="微软雅黑" w:hAnsi="微软雅黑" w:eastAsia="微软雅黑" w:cs="微软雅黑"/>
          <w:color w:val="auto"/>
          <w:lang w:val="en-US"/>
        </w:rPr>
        <w:t>国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有企业</w:t>
      </w:r>
      <w:r>
        <w:rPr>
          <w:rFonts w:hint="eastAsia" w:ascii="微软雅黑" w:hAnsi="微软雅黑" w:eastAsia="微软雅黑" w:cs="微软雅黑"/>
          <w:color w:val="auto"/>
          <w:lang w:val="en-US"/>
        </w:rPr>
        <w:t>内部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资本运作</w:t>
      </w:r>
      <w:r>
        <w:rPr>
          <w:rFonts w:hint="eastAsia" w:ascii="微软雅黑" w:hAnsi="微软雅黑" w:eastAsia="微软雅黑" w:cs="微软雅黑"/>
          <w:color w:val="auto"/>
          <w:lang w:val="en-US"/>
        </w:rPr>
        <w:t>的相关流程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</w:rPr>
        <w:t>项目型资本运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b w:val="0"/>
          <w:bCs w:val="0"/>
          <w:color w:val="auto"/>
        </w:rPr>
        <w:t>的业务流程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1、</w:t>
      </w:r>
      <w:r>
        <w:rPr>
          <w:rFonts w:hint="eastAsia" w:ascii="微软雅黑" w:hAnsi="微软雅黑" w:eastAsia="微软雅黑" w:cs="微软雅黑"/>
          <w:color w:val="auto"/>
        </w:rPr>
        <w:t>项目推荐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2、</w:t>
      </w:r>
      <w:r>
        <w:rPr>
          <w:rFonts w:hint="eastAsia" w:ascii="微软雅黑" w:hAnsi="微软雅黑" w:eastAsia="微软雅黑" w:cs="微软雅黑"/>
          <w:color w:val="auto"/>
        </w:rPr>
        <w:t>项目内部立项审批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3、</w:t>
      </w:r>
      <w:r>
        <w:rPr>
          <w:rFonts w:hint="eastAsia" w:ascii="微软雅黑" w:hAnsi="微软雅黑" w:eastAsia="微软雅黑" w:cs="微软雅黑"/>
          <w:color w:val="auto"/>
        </w:rPr>
        <w:t>成立项目组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4、</w:t>
      </w:r>
      <w:r>
        <w:rPr>
          <w:rFonts w:hint="eastAsia" w:ascii="微软雅黑" w:hAnsi="微软雅黑" w:eastAsia="微软雅黑" w:cs="微软雅黑"/>
          <w:color w:val="auto"/>
        </w:rPr>
        <w:t>制订项目总体计划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5、</w:t>
      </w:r>
      <w:r>
        <w:rPr>
          <w:rFonts w:hint="eastAsia" w:ascii="微软雅黑" w:hAnsi="微软雅黑" w:eastAsia="微软雅黑" w:cs="微软雅黑"/>
          <w:color w:val="auto"/>
        </w:rPr>
        <w:t>项目执行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6、</w:t>
      </w:r>
      <w:r>
        <w:rPr>
          <w:rFonts w:hint="eastAsia" w:ascii="微软雅黑" w:hAnsi="微软雅黑" w:eastAsia="微软雅黑" w:cs="微软雅黑"/>
          <w:color w:val="auto"/>
        </w:rPr>
        <w:t>项目后续管理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7、</w:t>
      </w:r>
      <w:r>
        <w:rPr>
          <w:rFonts w:hint="eastAsia" w:ascii="微软雅黑" w:hAnsi="微软雅黑" w:eastAsia="微软雅黑" w:cs="微软雅黑"/>
          <w:color w:val="auto"/>
        </w:rPr>
        <w:t>若资本运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color w:val="auto"/>
        </w:rPr>
        <w:t>项目在执行过程与预期有较大差异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</w:rPr>
        <w:t>非项目型资本运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b w:val="0"/>
          <w:bCs w:val="0"/>
          <w:color w:val="auto"/>
        </w:rPr>
        <w:t>的业务流程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案例  国美电器资本运作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国美电器通过以下七步操作实现了成功借壳上市的全过程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（二）国美电器借壳上市的资本运作技巧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1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eastAsia="zh-CN"/>
        </w:rPr>
        <w:t>、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巧妙设置股权比例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 w:val="0"/>
          <w:color w:val="auto"/>
          <w:sz w:val="21"/>
          <w:szCs w:val="21"/>
        </w:rPr>
      </w:pPr>
      <w:r>
        <w:rPr>
          <w:rFonts w:ascii="微软雅黑" w:hAnsi="微软雅黑" w:eastAsia="微软雅黑" w:cs="mn-cs"/>
          <w:color w:val="000000"/>
          <w:kern w:val="24"/>
          <w:vertAlign w:val="baseline"/>
        </w:rPr>
        <w:t xml:space="preserve"> </w:t>
      </w: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2</w:t>
      </w: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  <w:lang w:eastAsia="zh-CN"/>
        </w:rPr>
        <w:t>、</w:t>
      </w: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装入地产，抬价减持，保持上市和控股地位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Calibri" w:hAnsi="Calibri" w:eastAsia="宋体" w:cs="mn-cs"/>
          <w:color w:val="FFFFFF"/>
          <w:kern w:val="24"/>
          <w:vertAlign w:val="baseline"/>
        </w:rPr>
        <w:t xml:space="preserve"> </w:t>
      </w: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3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eastAsia="zh-CN"/>
        </w:rPr>
        <w:t>、</w:t>
      </w: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左手倒右手，高市盈率将国美电器股份有限公司65%股权装入上市公司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ascii="Calibri" w:hAnsi="Calibri" w:eastAsia="宋体" w:cs="mn-cs"/>
          <w:color w:val="FFFFFF"/>
          <w:kern w:val="24"/>
          <w:vertAlign w:val="baseline"/>
        </w:rPr>
        <w:t xml:space="preserve"> </w:t>
      </w:r>
      <w:r>
        <w:rPr>
          <w:rFonts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4</w:t>
      </w: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  <w:lang w:eastAsia="zh-CN"/>
        </w:rPr>
        <w:t>、</w:t>
      </w: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合理运用金融手段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eastAsia="zh-CN"/>
        </w:rPr>
        <w:t>讲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资本运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的分类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eastAsia="zh-CN"/>
        </w:rPr>
        <w:t>与模式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一、资本运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sz w:val="21"/>
          <w:szCs w:val="21"/>
        </w:rPr>
        <w:t>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（一）按资本运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sz w:val="21"/>
          <w:szCs w:val="21"/>
        </w:rPr>
        <w:t>的状态分类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1．增量资本运营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2．存量资本运营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sz w:val="21"/>
          <w:szCs w:val="21"/>
        </w:rPr>
        <w:t>的方式分类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1．外部交易型资本运营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2．内部管理型资本运营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sz w:val="21"/>
          <w:szCs w:val="21"/>
        </w:rPr>
        <w:t>的对象分类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1．实业资本运营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2．金融资本运营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3、产权资本运营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按资本运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的全过程分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类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1、资本的筹集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 xml:space="preserve"> 2、投资决策和资本投入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3、资本的运动与增值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 xml:space="preserve"> 4、资本增值的分配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二、资本运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sz w:val="21"/>
          <w:szCs w:val="21"/>
        </w:rPr>
        <w:t>模式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（一）扩张型资本运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1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、横向型资本扩张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  青岛啤酒厂资本运营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2、纵向型资本扩张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案例  新浪资本运作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3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、混合型资本扩张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 美的集团资本运营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      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收缩型资本运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1．资产剥离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案例  中国人寿保险资本运作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2．公司分立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 联想集团资本运营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3．股权回购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 申能股份有限公司资本运营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案例  宇通客车资本运作违规操作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（一）宇通客车管理层收购MBO过程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（二）宇通的会计造假事件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（三）宇通高分红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▲本讲互动与答疑</w:t>
      </w:r>
      <w:r>
        <w:rPr>
          <w:rFonts w:hint="eastAsia" w:ascii="微软雅黑" w:hAnsi="微软雅黑" w:eastAsia="微软雅黑" w:cs="微软雅黑"/>
          <w:b/>
          <w:sz w:val="21"/>
          <w:szCs w:val="21"/>
        </w:rPr>
        <w:t xml:space="preserve">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第三讲  国有资本运作企业的市值管理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一、市值管理的概念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default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二、买</w:t>
      </w:r>
      <w:r>
        <w:rPr>
          <w:rStyle w:val="7"/>
          <w:rFonts w:hint="eastAsia" w:ascii="微软雅黑" w:hAnsi="微软雅黑" w:eastAsia="微软雅黑" w:cs="微软雅黑"/>
          <w:b/>
          <w:i w:val="0"/>
          <w:caps w:val="0"/>
          <w:color w:val="191919"/>
          <w:spacing w:val="0"/>
          <w:sz w:val="21"/>
          <w:szCs w:val="21"/>
          <w:shd w:val="clear" w:color="auto" w:fill="FFFFFF"/>
        </w:rPr>
        <w:t>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三、收购与并购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四、借</w:t>
      </w:r>
      <w:r>
        <w:rPr>
          <w:rStyle w:val="7"/>
          <w:rFonts w:hint="eastAsia" w:ascii="微软雅黑" w:hAnsi="微软雅黑" w:eastAsia="微软雅黑" w:cs="微软雅黑"/>
          <w:b/>
          <w:i w:val="0"/>
          <w:caps w:val="0"/>
          <w:color w:val="191919"/>
          <w:spacing w:val="0"/>
          <w:sz w:val="21"/>
          <w:szCs w:val="21"/>
          <w:shd w:val="clear" w:color="auto" w:fill="FFFFFF"/>
        </w:rPr>
        <w:t>壳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上市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五、IPO审核通过后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六、股票公开</w:t>
      </w: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</w:rPr>
        <w:t>和非公开发行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七、新三板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八、可转券和交换券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Style w:val="7"/>
          <w:rFonts w:hint="default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九、债券公开和</w:t>
      </w:r>
      <w:r>
        <w:rPr>
          <w:rStyle w:val="7"/>
          <w:rFonts w:hint="eastAsia" w:ascii="微软雅黑" w:hAnsi="微软雅黑" w:eastAsia="微软雅黑" w:cs="微软雅黑"/>
          <w:b/>
          <w:i w:val="0"/>
          <w:caps w:val="0"/>
          <w:color w:val="191919"/>
          <w:spacing w:val="0"/>
          <w:sz w:val="21"/>
          <w:szCs w:val="21"/>
          <w:shd w:val="clear" w:color="auto" w:fill="FFFFFF"/>
        </w:rPr>
        <w:t>非</w:t>
      </w: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公开发行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十、资管计划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Style w:val="7"/>
          <w:rFonts w:hint="default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第四讲  国有资本运作企业先进管理经验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扩张型资本运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（一）扩张型资本运营模式:横向型资本扩张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案例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 青岛啤酒厂资本运作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（二）扩张型资本运营模式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:纵向型资本扩张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  格林柯尔集团纵向型资本扩张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 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收缩型资本运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（一）资产剥离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 中国人寿资产剥离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公司分立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 杭州南方特种泵业有限公司分立方案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（三）分拆上市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案例  联想集团资本运作</w:t>
      </w: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分拆上市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（四）股份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回购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  鲁润股份资产剥离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color w:val="0000CC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第五讲  完善产权管理之一：产权界定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产权界定的原则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（一）政府分级代表原则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（二）投资者（出资人）拥有产权原则</w:t>
      </w:r>
    </w:p>
    <w:p>
      <w:pPr>
        <w:pStyle w:val="4"/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sz w:val="21"/>
          <w:szCs w:val="21"/>
          <w:vertAlign w:val="baseline"/>
        </w:rPr>
        <w:t>（三）兼顾国家、企业和个人三者利益原则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（四）国家所有权受特殊保护原则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（五）先易后难、逐步开展原则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二、产权界定的组织与方法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（一）产权界定组织管理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1、产权界定的范围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ascii="微软雅黑" w:hAnsi="微软雅黑" w:eastAsia="微软雅黑" w:cs="mn-cs"/>
          <w:color w:val="000000"/>
          <w:sz w:val="21"/>
          <w:szCs w:val="21"/>
          <w:vertAlign w:val="baseline"/>
        </w:rPr>
        <w:t>2</w:t>
      </w:r>
      <w:r>
        <w:rPr>
          <w:rFonts w:hint="eastAsia" w:ascii="微软雅黑" w:hAnsi="微软雅黑" w:eastAsia="微软雅黑" w:cs="mn-cs"/>
          <w:color w:val="000000"/>
          <w:sz w:val="21"/>
          <w:szCs w:val="21"/>
          <w:vertAlign w:val="baseline"/>
        </w:rPr>
        <w:t>、国有资产产权界定的一般程序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000000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000000"/>
          <w:kern w:val="24"/>
          <w:sz w:val="21"/>
          <w:szCs w:val="21"/>
          <w:vertAlign w:val="baseline"/>
        </w:rPr>
        <w:t>（二）产权界定方法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000000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b w:val="0"/>
          <w:bCs/>
          <w:color w:val="000000"/>
          <w:kern w:val="24"/>
          <w:sz w:val="21"/>
          <w:szCs w:val="21"/>
          <w:vertAlign w:val="baseline"/>
        </w:rPr>
        <w:t>1、国家原始投资的查定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2、国家原始投资增值的查定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3、国家优惠政策形成资产的查定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产权纠纷调处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mn-cs"/>
          <w:b w:val="0"/>
          <w:bCs/>
          <w:color w:val="auto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sz w:val="21"/>
          <w:szCs w:val="21"/>
          <w:vertAlign w:val="baseline"/>
        </w:rPr>
        <w:t>产权纠纷调处概述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（二）产权纠纷调处的基本依据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1．出资人拥有产权原则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2、行政划拨文件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3．企业组织形式变更文件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（三）国有资产产权纠纷调处程序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1．程序性审查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2、立案受理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3、书面调处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4、调解阶段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5、依法裁决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6．行政复议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第六讲  完善产权管理之二：产权登记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产权登记的基本要素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产权登记与产权界定的密切关系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sz w:val="21"/>
          <w:szCs w:val="21"/>
          <w:vertAlign w:val="baseline"/>
        </w:rPr>
        <w:t>（二）主要法律与政策依据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</w:pPr>
      <w:r>
        <w:rPr>
          <w:rFonts w:ascii="微软雅黑" w:hAnsi="微软雅黑" w:eastAsia="微软雅黑" w:cs="mn-cs"/>
          <w:b w:val="0"/>
          <w:bCs/>
          <w:color w:val="000000"/>
          <w:kern w:val="24"/>
          <w:sz w:val="21"/>
          <w:szCs w:val="21"/>
          <w:vertAlign w:val="baseline"/>
        </w:rPr>
        <w:t>（三）产权登记机关与职责</w:t>
      </w:r>
    </w:p>
    <w:p>
      <w:pPr>
        <w:pStyle w:val="4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sz w:val="21"/>
          <w:szCs w:val="21"/>
          <w:vertAlign w:val="baseline"/>
        </w:rPr>
        <w:t>（</w:t>
      </w:r>
      <w:r>
        <w:rPr>
          <w:rFonts w:hint="eastAsia" w:ascii="微软雅黑" w:hAnsi="微软雅黑" w:eastAsia="微软雅黑" w:cs="mn-cs"/>
          <w:b w:val="0"/>
          <w:bCs/>
          <w:color w:val="auto"/>
          <w:sz w:val="21"/>
          <w:szCs w:val="21"/>
          <w:vertAlign w:val="baseline"/>
        </w:rPr>
        <w:t>四）产权登记办理对象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（五）产权登记的种类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1、占有产权登记</w:t>
      </w:r>
    </w:p>
    <w:p>
      <w:pPr>
        <w:pStyle w:val="4"/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sz w:val="21"/>
          <w:szCs w:val="21"/>
          <w:vertAlign w:val="baseline"/>
        </w:rPr>
        <w:t>2、变动产权登记</w:t>
      </w:r>
    </w:p>
    <w:p>
      <w:pPr>
        <w:pStyle w:val="4"/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sz w:val="21"/>
          <w:szCs w:val="21"/>
          <w:vertAlign w:val="baseline"/>
        </w:rPr>
        <w:t>3、注销产权登记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产权登记业务办理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（一）申请受理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（二）填报审查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（三）审核认定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（四）核发证书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产权登记分析报告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eastAsia="zh-CN"/>
        </w:rPr>
        <w:t>（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>一）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产权登记情况总结分析的主要内容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（二）产权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变动情况总结分析的主要内容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产权登记的意义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（一）有助于加强国有资产产权管理职能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（二）建立现代企业制度的重要条件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（三）有助于国家对企业经营状况的监督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（四）国有资产基础管理工作的重要内容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第七讲  完善产权管理之三：产权转让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企业国有产权转让的含义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企业国有产权转让的基本形式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（一）拍卖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（二）招投标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（三）协议转让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企业国有产权转让的程序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（一）可行性研究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（二）报告审批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（三）清产核资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（四）资产评估</w:t>
      </w: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ab/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（五）公告信息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（六）提出受让条件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（七）明确外商受让范围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（八）实施产权交易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（九）办理相关手续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企业国有产权转让的批准程序和基本依据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（一）国有资产监督管理机构批准</w:t>
      </w:r>
    </w:p>
    <w:p>
      <w:pPr>
        <w:pStyle w:val="4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ascii="微软雅黑" w:hAnsi="微软雅黑" w:eastAsia="微软雅黑" w:cs="mn-cs"/>
          <w:b w:val="0"/>
          <w:bCs/>
          <w:color w:val="auto"/>
          <w:sz w:val="21"/>
          <w:szCs w:val="21"/>
          <w:vertAlign w:val="baseline"/>
        </w:rPr>
      </w:pPr>
      <w:r>
        <w:rPr>
          <w:rFonts w:ascii="微软雅黑" w:hAnsi="微软雅黑" w:eastAsia="微软雅黑" w:cs="mn-cs"/>
          <w:b w:val="0"/>
          <w:bCs/>
          <w:color w:val="auto"/>
          <w:sz w:val="21"/>
          <w:szCs w:val="21"/>
          <w:vertAlign w:val="baseline"/>
        </w:rPr>
        <w:t>（二）国家出资企业批准</w:t>
      </w:r>
    </w:p>
    <w:p>
      <w:pPr>
        <w:pStyle w:val="4"/>
        <w:keepNext w:val="0"/>
        <w:keepLines w:val="0"/>
        <w:pageBreakBefore w:val="0"/>
        <w:widowControl/>
        <w:suppressLineNumbers w:val="0"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 w:val="0"/>
          <w:color w:val="auto"/>
          <w:sz w:val="21"/>
          <w:szCs w:val="21"/>
          <w:shd w:val="clear" w:color="auto" w:fill="auto"/>
          <w:vertAlign w:val="baseline"/>
        </w:rPr>
        <w:t>（三）企业国有产权转让方案应载明的内容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color w:val="auto"/>
          <w:lang w:val="en-US"/>
        </w:rPr>
        <w:t>国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有</w:t>
      </w:r>
      <w:r>
        <w:rPr>
          <w:rFonts w:hint="eastAsia" w:ascii="微软雅黑" w:hAnsi="微软雅黑" w:eastAsia="微软雅黑" w:cs="微软雅黑"/>
          <w:color w:val="auto"/>
          <w:lang w:val="en-US"/>
        </w:rPr>
        <w:t>企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color w:val="auto"/>
          <w:lang w:val="en-US"/>
        </w:rPr>
        <w:t>内部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产权交易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审</w:t>
      </w:r>
      <w:r>
        <w:rPr>
          <w:rFonts w:hint="eastAsia" w:ascii="微软雅黑" w:hAnsi="微软雅黑" w:eastAsia="微软雅黑" w:cs="微软雅黑"/>
          <w:color w:val="auto"/>
          <w:lang w:val="en-US"/>
        </w:rPr>
        <w:t>批的相关流程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一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审批流程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（二）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向审批机构提交的文件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具体审查要点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1、</w:t>
      </w: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转让企业国有产权的有关决议文件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2、</w:t>
      </w: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企业国有产权转让方案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3、</w:t>
      </w: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律师事务所出具的法律意见书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4、</w:t>
      </w: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受让方应具备的基本条件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outlineLvl w:val="9"/>
        <w:rPr>
          <w:b w:val="0"/>
          <w:bCs/>
          <w:color w:val="auto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5、</w:t>
      </w: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职工安置事项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/>
        <w:textAlignment w:val="auto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四）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后续程序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1、</w:t>
      </w: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清产核资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2、</w:t>
      </w: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审计评估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3、</w:t>
      </w: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信息披露，公开挂牌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4、</w:t>
      </w: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签订协议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5、</w:t>
      </w:r>
      <w:r>
        <w:rPr>
          <w:rStyle w:val="7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办理产权登记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▲本讲互动与答疑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第八讲  基于某国有企业固定资产产权管理的做法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一、固定</w:t>
      </w:r>
      <w:r>
        <w:rPr>
          <w:rFonts w:hint="eastAsia" w:ascii="微软雅黑" w:hAnsi="微软雅黑" w:eastAsia="微软雅黑" w:cs="微软雅黑"/>
          <w:sz w:val="21"/>
          <w:szCs w:val="21"/>
        </w:rPr>
        <w:t>资产实行产权登记制度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二、固定</w:t>
      </w:r>
      <w:r>
        <w:rPr>
          <w:rFonts w:hint="eastAsia" w:ascii="微软雅黑" w:hAnsi="微软雅黑" w:eastAsia="微软雅黑" w:cs="微软雅黑"/>
          <w:sz w:val="21"/>
          <w:szCs w:val="21"/>
        </w:rPr>
        <w:t>资产购置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报批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三、固定资产</w:t>
      </w:r>
      <w:r>
        <w:rPr>
          <w:rFonts w:hint="eastAsia" w:ascii="微软雅黑" w:hAnsi="微软雅黑" w:eastAsia="微软雅黑" w:cs="微软雅黑"/>
          <w:sz w:val="21"/>
          <w:szCs w:val="21"/>
        </w:rPr>
        <w:t>评估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范围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（一）公司合并、分立、解散、清算、破产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（二）整体或部分资产产权转让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（三）资产置换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</w:rPr>
        <w:t>四）以非货币资产偿还债务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（五）接受非国有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企业（单</w:t>
      </w:r>
      <w:r>
        <w:rPr>
          <w:rFonts w:hint="eastAsia" w:ascii="微软雅黑" w:hAnsi="微软雅黑" w:eastAsia="微软雅黑" w:cs="微软雅黑"/>
          <w:sz w:val="21"/>
          <w:szCs w:val="21"/>
        </w:rPr>
        <w:t>位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1"/>
          <w:szCs w:val="21"/>
        </w:rPr>
        <w:t>以非货币资产出资、抵债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 xml:space="preserve">（六）其他需要进行评估事项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第九讲  全面互动答疑与课程总结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  <w:lang w:val="en-US" w:eastAsia="zh-CN"/>
        </w:rPr>
        <w:t>时长：线上7.5小时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                                        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  <w:lang w:val="en-US" w:eastAsia="zh-CN"/>
        </w:rPr>
        <w:t xml:space="preserve"> 编制与讲解：</w:t>
      </w:r>
      <w:r>
        <w:rPr>
          <w:rFonts w:hint="eastAsia" w:ascii="微软雅黑" w:hAnsi="微软雅黑" w:eastAsia="微软雅黑" w:cs="微软雅黑"/>
          <w:b/>
          <w:bCs/>
          <w:color w:val="0000FF"/>
          <w:sz w:val="30"/>
          <w:szCs w:val="30"/>
          <w:lang w:val="en-US" w:eastAsia="zh-CN"/>
        </w:rPr>
        <w:t>屠建清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FpCcj7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38013A"/>
    <w:multiLevelType w:val="singleLevel"/>
    <w:tmpl w:val="6138013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1380F1E"/>
    <w:multiLevelType w:val="singleLevel"/>
    <w:tmpl w:val="61380F1E"/>
    <w:lvl w:ilvl="0" w:tentative="0">
      <w:start w:val="2"/>
      <w:numFmt w:val="chineseCounting"/>
      <w:suff w:val="nothing"/>
      <w:lvlText w:val="（%1）"/>
      <w:lvlJc w:val="left"/>
    </w:lvl>
  </w:abstractNum>
  <w:abstractNum w:abstractNumId="2">
    <w:nsid w:val="6260A0F8"/>
    <w:multiLevelType w:val="singleLevel"/>
    <w:tmpl w:val="6260A0F8"/>
    <w:lvl w:ilvl="0" w:tentative="0">
      <w:start w:val="1"/>
      <w:numFmt w:val="chineseCounting"/>
      <w:suff w:val="nothing"/>
      <w:lvlText w:val="（%1）"/>
      <w:lvlJc w:val="left"/>
    </w:lvl>
  </w:abstractNum>
  <w:abstractNum w:abstractNumId="3">
    <w:nsid w:val="6260A322"/>
    <w:multiLevelType w:val="singleLevel"/>
    <w:tmpl w:val="6260A322"/>
    <w:lvl w:ilvl="0" w:tentative="0">
      <w:start w:val="1"/>
      <w:numFmt w:val="chineseCounting"/>
      <w:suff w:val="nothing"/>
      <w:lvlText w:val="（%1）"/>
      <w:lvlJc w:val="left"/>
    </w:lvl>
  </w:abstractNum>
  <w:abstractNum w:abstractNumId="4">
    <w:nsid w:val="6260B12B"/>
    <w:multiLevelType w:val="singleLevel"/>
    <w:tmpl w:val="6260B12B"/>
    <w:lvl w:ilvl="0" w:tentative="0">
      <w:start w:val="2"/>
      <w:numFmt w:val="chineseCounting"/>
      <w:suff w:val="nothing"/>
      <w:lvlText w:val="（%1）"/>
      <w:lvlJc w:val="left"/>
    </w:lvl>
  </w:abstractNum>
  <w:abstractNum w:abstractNumId="5">
    <w:nsid w:val="6260B50D"/>
    <w:multiLevelType w:val="singleLevel"/>
    <w:tmpl w:val="6260B50D"/>
    <w:lvl w:ilvl="0" w:tentative="0">
      <w:start w:val="1"/>
      <w:numFmt w:val="chineseCounting"/>
      <w:suff w:val="nothing"/>
      <w:lvlText w:val="%1、"/>
      <w:lvlJc w:val="left"/>
    </w:lvl>
  </w:abstractNum>
  <w:abstractNum w:abstractNumId="6">
    <w:nsid w:val="6260B6C2"/>
    <w:multiLevelType w:val="singleLevel"/>
    <w:tmpl w:val="6260B6C2"/>
    <w:lvl w:ilvl="0" w:tentative="0">
      <w:start w:val="3"/>
      <w:numFmt w:val="chineseCounting"/>
      <w:suff w:val="nothing"/>
      <w:lvlText w:val="%1、"/>
      <w:lvlJc w:val="left"/>
    </w:lvl>
  </w:abstractNum>
  <w:abstractNum w:abstractNumId="7">
    <w:nsid w:val="6260B6F1"/>
    <w:multiLevelType w:val="singleLevel"/>
    <w:tmpl w:val="6260B6F1"/>
    <w:lvl w:ilvl="0" w:tentative="0">
      <w:start w:val="1"/>
      <w:numFmt w:val="chineseCounting"/>
      <w:suff w:val="nothing"/>
      <w:lvlText w:val="（%1）"/>
      <w:lvlJc w:val="left"/>
    </w:lvl>
  </w:abstractNum>
  <w:abstractNum w:abstractNumId="8">
    <w:nsid w:val="6260B9D5"/>
    <w:multiLevelType w:val="singleLevel"/>
    <w:tmpl w:val="6260B9D5"/>
    <w:lvl w:ilvl="0" w:tentative="0">
      <w:start w:val="1"/>
      <w:numFmt w:val="chineseCounting"/>
      <w:suff w:val="nothing"/>
      <w:lvlText w:val="%1、"/>
      <w:lvlJc w:val="left"/>
    </w:lvl>
  </w:abstractNum>
  <w:abstractNum w:abstractNumId="9">
    <w:nsid w:val="6260BA25"/>
    <w:multiLevelType w:val="singleLevel"/>
    <w:tmpl w:val="6260BA25"/>
    <w:lvl w:ilvl="0" w:tentative="0">
      <w:start w:val="1"/>
      <w:numFmt w:val="chineseCounting"/>
      <w:suff w:val="nothing"/>
      <w:lvlText w:val="（%1）"/>
      <w:lvlJc w:val="left"/>
    </w:lvl>
  </w:abstractNum>
  <w:abstractNum w:abstractNumId="10">
    <w:nsid w:val="6260BB9A"/>
    <w:multiLevelType w:val="singleLevel"/>
    <w:tmpl w:val="6260BB9A"/>
    <w:lvl w:ilvl="0" w:tentative="0">
      <w:start w:val="2"/>
      <w:numFmt w:val="chineseCounting"/>
      <w:suff w:val="nothing"/>
      <w:lvlText w:val="%1、"/>
      <w:lvlJc w:val="left"/>
    </w:lvl>
  </w:abstractNum>
  <w:abstractNum w:abstractNumId="11">
    <w:nsid w:val="6260BDA2"/>
    <w:multiLevelType w:val="singleLevel"/>
    <w:tmpl w:val="6260BDA2"/>
    <w:lvl w:ilvl="0" w:tentative="0">
      <w:start w:val="1"/>
      <w:numFmt w:val="chineseCounting"/>
      <w:suff w:val="nothing"/>
      <w:lvlText w:val="%1、"/>
      <w:lvlJc w:val="left"/>
    </w:lvl>
  </w:abstractNum>
  <w:abstractNum w:abstractNumId="12">
    <w:nsid w:val="626117B8"/>
    <w:multiLevelType w:val="singleLevel"/>
    <w:tmpl w:val="626117B8"/>
    <w:lvl w:ilvl="0" w:tentative="0">
      <w:start w:val="2"/>
      <w:numFmt w:val="chineseCounting"/>
      <w:suff w:val="nothing"/>
      <w:lvlText w:val="（%1）"/>
      <w:lvlJc w:val="left"/>
    </w:lvl>
  </w:abstractNum>
  <w:abstractNum w:abstractNumId="13">
    <w:nsid w:val="7989C83A"/>
    <w:multiLevelType w:val="singleLevel"/>
    <w:tmpl w:val="7989C83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3"/>
  </w:num>
  <w:num w:numId="2">
    <w:abstractNumId w:val="2"/>
  </w:num>
  <w:num w:numId="3">
    <w:abstractNumId w:val="1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9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E47F60"/>
    <w:rsid w:val="0C5C640D"/>
    <w:rsid w:val="2B085B4A"/>
    <w:rsid w:val="2BAA2D35"/>
    <w:rsid w:val="369261AE"/>
    <w:rsid w:val="36CF2FFD"/>
    <w:rsid w:val="39100C93"/>
    <w:rsid w:val="3C0A3BFF"/>
    <w:rsid w:val="3E3307F0"/>
    <w:rsid w:val="3F741167"/>
    <w:rsid w:val="46B71D04"/>
    <w:rsid w:val="59E16359"/>
    <w:rsid w:val="657701DB"/>
    <w:rsid w:val="69740214"/>
    <w:rsid w:val="6D9144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7">
    <w:name w:val="Strong"/>
    <w:basedOn w:val="6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2238</Words>
  <Characters>2246</Characters>
  <Lines>0</Lines>
  <Paragraphs>0</Paragraphs>
  <TotalTime>0</TotalTime>
  <ScaleCrop>false</ScaleCrop>
  <LinksUpToDate>false</LinksUpToDate>
  <CharactersWithSpaces>2430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2022-04-18T08:24:50Z</dcterms:created>
  <dc:creator>Lenovo</dc:creator>
  <cp:lastModifiedBy>蓉儿</cp:lastModifiedBy>
  <dcterms:modified xsi:type="dcterms:W3CDTF">2022-05-06T09:21:42Z</dcterms:modified>
  <dc:title>         《国有企业资本运营与产权交易实务》提纲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EE223134773D4ACF87031E797041A483</vt:lpwstr>
  </property>
</Properties>
</file>