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国企财务管理、资金收支、费用报销等环节规范性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导入一  最新企业会计准则与国资委相关要求要点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 xml:space="preserve">第一讲 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国有制造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业企业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  <w:t>全面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</w:rPr>
        <w:t>预算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  <w:lang w:val="en-US" w:eastAsia="zh-CN"/>
        </w:rPr>
        <w:t>管理与成本控制规范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制造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企业的全面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  <w:t>预算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全面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  <w:t>预算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管理制度要点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全面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  <w:t>预算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管理实施要点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制造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企业的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成本控制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（一）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成本控制管理制度要点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（二）成本控制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实施要点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ascii="微软雅黑" w:hAnsi="微软雅黑" w:eastAsia="微软雅黑" w:cs="微软雅黑"/>
          <w:b/>
          <w:bCs/>
          <w:color w:val="C00000"/>
        </w:rPr>
      </w:pPr>
      <w:r>
        <w:rPr>
          <w:rFonts w:hint="eastAsia" w:ascii="微软雅黑" w:hAnsi="微软雅黑" w:eastAsia="微软雅黑" w:cs="微软雅黑"/>
          <w:b/>
          <w:bCs/>
          <w:color w:val="C00000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C00000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国有制造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业企业</w:t>
      </w:r>
      <w:r>
        <w:rPr>
          <w:rFonts w:hint="eastAsia" w:ascii="微软雅黑" w:hAnsi="微软雅黑" w:eastAsia="微软雅黑" w:cs="微软雅黑"/>
          <w:b/>
          <w:bCs/>
          <w:color w:val="C00000"/>
        </w:rPr>
        <w:t>营运资金管理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  <w:lang w:val="en-US" w:eastAsia="zh-CN"/>
        </w:rPr>
        <w:t>规范</w:t>
      </w:r>
    </w:p>
    <w:p>
      <w:pPr>
        <w:numPr>
          <w:ilvl w:val="0"/>
          <w:numId w:val="2"/>
        </w:numPr>
        <w:spacing w:line="0" w:lineRule="atLeast"/>
        <w:rPr>
          <w:b/>
        </w:rPr>
      </w:pPr>
      <w:r>
        <w:rPr>
          <w:rFonts w:hint="eastAsia" w:ascii="微软雅黑" w:hAnsi="微软雅黑" w:eastAsia="微软雅黑" w:cs="微软雅黑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</w:rPr>
        <w:t>营运资金</w:t>
      </w:r>
      <w:r>
        <w:rPr>
          <w:rFonts w:hint="eastAsia" w:ascii="微软雅黑" w:hAnsi="微软雅黑" w:eastAsia="微软雅黑" w:cs="微软雅黑"/>
          <w:lang w:val="en-US" w:eastAsia="zh-CN"/>
        </w:rPr>
        <w:t>概述</w:t>
      </w:r>
    </w:p>
    <w:p>
      <w:pPr>
        <w:numPr>
          <w:ilvl w:val="0"/>
          <w:numId w:val="2"/>
        </w:numPr>
        <w:spacing w:line="0" w:lineRule="atLeast"/>
        <w:rPr>
          <w:b/>
        </w:rPr>
      </w:pPr>
      <w:r>
        <w:rPr>
          <w:rFonts w:hint="eastAsia" w:ascii="微软雅黑" w:hAnsi="微软雅黑" w:eastAsia="微软雅黑" w:cs="微软雅黑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</w:rPr>
        <w:t>营运资金管理操作</w:t>
      </w:r>
      <w:r>
        <w:rPr>
          <w:rFonts w:hint="eastAsia" w:ascii="微软雅黑" w:hAnsi="微软雅黑" w:eastAsia="微软雅黑" w:cs="微软雅黑"/>
          <w:lang w:val="en-US" w:eastAsia="zh-CN"/>
        </w:rPr>
        <w:t>要点</w:t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案例  格力资金集中管理与运营资金管理绩效评价</w:t>
      </w: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Cs w:val="21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color w:val="C00000"/>
          <w:szCs w:val="21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国有制造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业企业的</w:t>
      </w:r>
      <w:r>
        <w:rPr>
          <w:rFonts w:hint="eastAsia" w:ascii="微软雅黑" w:hAnsi="微软雅黑" w:eastAsia="微软雅黑" w:cs="微软雅黑"/>
          <w:b/>
          <w:color w:val="C00000"/>
          <w:szCs w:val="21"/>
        </w:rPr>
        <w:t>固定资产</w:t>
      </w:r>
      <w:r>
        <w:rPr>
          <w:rFonts w:hint="eastAsia" w:ascii="微软雅黑" w:hAnsi="微软雅黑" w:eastAsia="微软雅黑" w:cs="微软雅黑"/>
          <w:b/>
          <w:color w:val="C00000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  <w:lang w:val="en-US" w:eastAsia="zh-CN"/>
        </w:rPr>
        <w:t>规范</w:t>
      </w:r>
    </w:p>
    <w:p>
      <w:pPr>
        <w:numPr>
          <w:ilvl w:val="0"/>
          <w:numId w:val="3"/>
        </w:numPr>
        <w:tabs>
          <w:tab w:val="left" w:pos="7380"/>
        </w:tabs>
        <w:spacing w:line="0" w:lineRule="atLeast"/>
        <w:rPr>
          <w:rFonts w:hint="eastAsia" w:ascii="微软雅黑" w:hAnsi="微软雅黑" w:eastAsia="微软雅黑" w:cs="微软雅黑"/>
          <w:b w:val="0"/>
          <w:bCs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Cs w:val="21"/>
          <w:lang w:val="en-US" w:eastAsia="zh-CN"/>
        </w:rPr>
        <w:t>固定资产管理流程与管理工具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二、固定资产优化配置</w:t>
      </w:r>
      <w:r>
        <w:rPr>
          <w:rFonts w:hint="eastAsia" w:ascii="微软雅黑" w:hAnsi="微软雅黑" w:eastAsia="微软雅黑" w:cs="微软雅黑"/>
          <w:kern w:val="0"/>
          <w:szCs w:val="21"/>
        </w:rPr>
        <w:t xml:space="preserve"> 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color w:val="auto"/>
          <w:szCs w:val="21"/>
        </w:rPr>
        <w:t>固定资产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</w:rPr>
        <w:t>风险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</w:rPr>
        <w:t xml:space="preserve"> </w:t>
      </w:r>
    </w:p>
    <w:p>
      <w:pPr>
        <w:spacing w:line="0" w:lineRule="atLeast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Cs w:val="21"/>
        </w:rPr>
        <w:t>固定资产取得环节的</w:t>
      </w:r>
      <w:r>
        <w:rPr>
          <w:rFonts w:hint="eastAsia" w:ascii="微软雅黑" w:hAnsi="微软雅黑" w:eastAsia="微软雅黑" w:cs="微软雅黑"/>
          <w:kern w:val="0"/>
          <w:szCs w:val="21"/>
        </w:rPr>
        <w:t xml:space="preserve">主要风险与主要管控措施 </w:t>
      </w:r>
    </w:p>
    <w:p>
      <w:pPr>
        <w:spacing w:line="0" w:lineRule="atLeas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Cs w:val="21"/>
        </w:rPr>
        <w:t>固定资产更新改造环节的</w:t>
      </w:r>
      <w:r>
        <w:rPr>
          <w:rFonts w:hint="eastAsia" w:ascii="微软雅黑" w:hAnsi="微软雅黑" w:eastAsia="微软雅黑" w:cs="微软雅黑"/>
          <w:kern w:val="0"/>
          <w:szCs w:val="21"/>
        </w:rPr>
        <w:t xml:space="preserve">主要风险与主要管控措施  </w:t>
      </w:r>
    </w:p>
    <w:p>
      <w:pPr>
        <w:spacing w:line="0" w:lineRule="atLeas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szCs w:val="21"/>
        </w:rPr>
        <w:t>固定资产处置环节的</w:t>
      </w:r>
      <w:r>
        <w:rPr>
          <w:rFonts w:hint="eastAsia" w:ascii="微软雅黑" w:hAnsi="微软雅黑" w:eastAsia="微软雅黑" w:cs="微软雅黑"/>
          <w:kern w:val="0"/>
          <w:szCs w:val="21"/>
        </w:rPr>
        <w:t>主要风险与主要管控措施</w:t>
      </w:r>
    </w:p>
    <w:p>
      <w:pPr>
        <w:spacing w:line="0" w:lineRule="atLeast"/>
        <w:rPr>
          <w:rFonts w:hint="eastAsia"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szCs w:val="21"/>
        </w:rPr>
        <w:t>固定资产清查环节的</w:t>
      </w:r>
      <w:r>
        <w:rPr>
          <w:rFonts w:hint="eastAsia" w:ascii="微软雅黑" w:hAnsi="微软雅黑" w:eastAsia="微软雅黑" w:cs="微软雅黑"/>
          <w:kern w:val="0"/>
          <w:szCs w:val="21"/>
        </w:rPr>
        <w:t>主要风险与主要管控措施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讲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国有制造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业企业的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成本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费用日常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控制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研制产品未来成本的控制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材料采购过程成本的控制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产品生产过程成本的控制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sz w:val="21"/>
          <w:szCs w:val="21"/>
        </w:rPr>
        <w:t>销售过程费用的控制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sz w:val="21"/>
          <w:szCs w:val="21"/>
        </w:rPr>
        <w:t>管理费用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</w:rPr>
        <w:t>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六、财务费用的控制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案例  某制造业企业生产经营</w:t>
      </w:r>
      <w:r>
        <w:rPr>
          <w:rFonts w:hint="eastAsia" w:ascii="微软雅黑" w:hAnsi="微软雅黑" w:eastAsia="微软雅黑" w:cs="微软雅黑"/>
          <w:sz w:val="21"/>
          <w:szCs w:val="21"/>
        </w:rPr>
        <w:t>过程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中成本费用控制的做法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  <w:t xml:space="preserve">第五讲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国有企业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</w:rPr>
        <w:t>资金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  <w:t>活动合规控制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现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/>
        </w:rPr>
        <w:t>金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流规范性管理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（一）现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/>
        </w:rPr>
        <w:t>金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流入规范性管理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（二）现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/>
        </w:rPr>
        <w:t>金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流出规范性管理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资金运营活动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合规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控制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资金运营活动业务流程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0" w:lineRule="atLeast"/>
        <w:textAlignment w:val="auto"/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>资金运营的关键控制点及其控制措施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筹资活动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合规</w:t>
      </w:r>
      <w:r>
        <w:rPr>
          <w:rFonts w:hint="eastAsia" w:ascii="微软雅黑" w:hAnsi="微软雅黑" w:eastAsia="微软雅黑" w:cs="微软雅黑"/>
          <w:sz w:val="21"/>
          <w:szCs w:val="21"/>
        </w:rPr>
        <w:t>控制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筹资活动业务流程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0" w:lineRule="atLeas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>筹资活动的关键控制点及其控制措施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sz w:val="21"/>
          <w:szCs w:val="21"/>
        </w:rPr>
        <w:t>投资活动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合规</w:t>
      </w:r>
      <w:r>
        <w:rPr>
          <w:rFonts w:hint="eastAsia" w:ascii="微软雅黑" w:hAnsi="微软雅黑" w:eastAsia="微软雅黑" w:cs="微软雅黑"/>
          <w:sz w:val="21"/>
          <w:szCs w:val="21"/>
        </w:rPr>
        <w:t>控制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投资活动业务流程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0" w:lineRule="atLeas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>投资活动的关键控制点及其控制措施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第六讲   国有企业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费用报销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差旅费报销规范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营业（销售）费用报销规范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财务费用报销规范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其他管理费用报销规范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制造费用报销规范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案例  华为集团公司差旅费报销的规范做法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第七讲   国有企业财务、经营人员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行为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国有企业财务人员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行为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国有企业经营人员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行为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第八讲   国有企业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经营风险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与管控</w:t>
      </w:r>
    </w:p>
    <w:p>
      <w:pPr>
        <w:widowControl w:val="0"/>
        <w:wordWrap/>
        <w:adjustRightInd/>
        <w:snapToGrid/>
        <w:spacing w:line="0" w:lineRule="atLeast"/>
        <w:ind w:left="0" w:leftChars="0" w:right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企业经营中存在的风险 　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合同风险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质量风险</w:t>
      </w:r>
    </w:p>
    <w:p>
      <w:pPr>
        <w:widowControl w:val="0"/>
        <w:wordWrap/>
        <w:adjustRightInd/>
        <w:snapToGrid/>
        <w:spacing w:line="0" w:lineRule="atLeast"/>
        <w:ind w:left="0" w:leftChars="0" w:right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三）资金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风险</w:t>
      </w:r>
    </w:p>
    <w:p>
      <w:pPr>
        <w:widowControl w:val="0"/>
        <w:wordWrap/>
        <w:adjustRightInd/>
        <w:snapToGrid/>
        <w:spacing w:line="0" w:lineRule="atLeast"/>
        <w:ind w:right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 xml:space="preserve">市场风险 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 xml:space="preserve">   </w:t>
      </w:r>
    </w:p>
    <w:p>
      <w:pPr>
        <w:widowControl w:val="0"/>
        <w:wordWrap/>
        <w:adjustRightInd/>
        <w:snapToGrid/>
        <w:spacing w:line="0" w:lineRule="atLeast"/>
        <w:ind w:right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 xml:space="preserve">二、存在其经营风险的主要原因 </w:t>
      </w:r>
    </w:p>
    <w:p>
      <w:pPr>
        <w:widowControl w:val="0"/>
        <w:wordWrap/>
        <w:adjustRightInd/>
        <w:snapToGrid/>
        <w:spacing w:line="0" w:lineRule="atLeast"/>
        <w:ind w:left="0" w:leftChars="0" w:right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三、如何对经营风险进行防范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管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控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 xml:space="preserve"> </w:t>
      </w:r>
    </w:p>
    <w:p>
      <w:pPr>
        <w:widowControl w:val="0"/>
        <w:wordWrap/>
        <w:adjustRightInd/>
        <w:snapToGrid/>
        <w:spacing w:line="0" w:lineRule="atLeast"/>
        <w:ind w:left="0" w:leftChars="0" w:right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建立健全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经营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风险管理机制</w:t>
      </w:r>
    </w:p>
    <w:p>
      <w:pPr>
        <w:widowControl w:val="0"/>
        <w:wordWrap/>
        <w:adjustRightInd/>
        <w:snapToGrid/>
        <w:spacing w:line="0" w:lineRule="atLeast"/>
        <w:ind w:right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提高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经营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风险防范意识</w:t>
      </w:r>
    </w:p>
    <w:p>
      <w:pPr>
        <w:widowControl w:val="0"/>
        <w:wordWrap/>
        <w:adjustRightInd/>
        <w:snapToGrid/>
        <w:spacing w:line="0" w:lineRule="atLeast"/>
        <w:ind w:right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加强企业内部控制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采购业务风险控制设计及运行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采购业务流程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采购业务活动的主要风险及其控制措施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</w:rPr>
        <w:t>案例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价格昂贵的赝品水晶灯挂进新龙湾大酒店</w:t>
      </w:r>
      <w:r>
        <w:rPr>
          <w:rFonts w:hint="eastAsia" w:ascii="微软雅黑" w:hAnsi="微软雅黑" w:eastAsia="微软雅黑" w:cs="微软雅黑"/>
          <w:b/>
          <w:kern w:val="0"/>
          <w:sz w:val="18"/>
          <w:szCs w:val="18"/>
        </w:rPr>
        <w:t xml:space="preserve">                     </w:t>
      </w:r>
      <w:r>
        <w:rPr>
          <w:rFonts w:hint="eastAsia" w:ascii="微软雅黑" w:hAnsi="微软雅黑" w:eastAsia="微软雅黑" w:cs="微软雅黑"/>
          <w:b/>
          <w:kern w:val="0"/>
          <w:szCs w:val="21"/>
        </w:rPr>
        <w:t xml:space="preserve">                                                                               </w:t>
      </w:r>
      <w:r>
        <w:rPr>
          <w:rFonts w:hint="eastAsia" w:ascii="微软雅黑" w:hAnsi="微软雅黑" w:eastAsia="微软雅黑" w:cs="微软雅黑"/>
          <w:b/>
          <w:szCs w:val="21"/>
        </w:rPr>
        <w:t xml:space="preserve">                                       </w:t>
      </w:r>
      <w:r>
        <w:rPr>
          <w:rFonts w:hint="eastAsia" w:ascii="微软雅黑" w:hAnsi="微软雅黑" w:eastAsia="微软雅黑" w:cs="微软雅黑"/>
          <w:b/>
          <w:sz w:val="24"/>
        </w:rPr>
        <w:t xml:space="preserve">                </w:t>
      </w:r>
      <w:r>
        <w:rPr>
          <w:rFonts w:hint="eastAsia" w:ascii="微软雅黑" w:hAnsi="微软雅黑" w:eastAsia="微软雅黑" w:cs="微软雅黑"/>
          <w:b/>
          <w:szCs w:val="21"/>
        </w:rPr>
        <w:t xml:space="preserve">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销售业务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风险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与管控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)销售业务主要风险点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)销售计划管控措施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)客户开发与信用管控措施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)销售定价管控措施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)订立销售合同管控措施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)发货管控措施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案例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某企业销售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业务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风险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管控的做法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第九讲  国有企业财务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风险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与管控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一、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基于现金流量的财务风险识别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从经营活动识别财务风险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从投资活动识别财务风险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从筹资活动识别财务风险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二、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基于现金流量的财务风险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管控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加强现金流管理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从现金流量视角构建财务预警体系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加强对经营、投资筹资活动的监控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第十讲  全面互动答疑与课程总结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>时长：1天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 xml:space="preserve">                                      编制与讲解：</w:t>
      </w:r>
      <w:r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  <w:t>屠建清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FpCcj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682"/>
    <w:multiLevelType w:val="singleLevel"/>
    <w:tmpl w:val="586326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08894D6"/>
    <w:multiLevelType w:val="singleLevel"/>
    <w:tmpl w:val="608894D6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0889919"/>
    <w:multiLevelType w:val="singleLevel"/>
    <w:tmpl w:val="60889919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6264D31F"/>
    <w:multiLevelType w:val="singleLevel"/>
    <w:tmpl w:val="6264D31F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264D5F9"/>
    <w:multiLevelType w:val="singleLevel"/>
    <w:tmpl w:val="6264D5F9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6264D6DD"/>
    <w:multiLevelType w:val="singleLevel"/>
    <w:tmpl w:val="6264D6D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EE01B3"/>
    <w:rsid w:val="13794DCD"/>
    <w:rsid w:val="14CA4765"/>
    <w:rsid w:val="192509E7"/>
    <w:rsid w:val="1BD92F6F"/>
    <w:rsid w:val="27AB2749"/>
    <w:rsid w:val="38AE00AF"/>
    <w:rsid w:val="4C640D8F"/>
    <w:rsid w:val="4CCC6B8A"/>
    <w:rsid w:val="51D121B3"/>
    <w:rsid w:val="594B0071"/>
    <w:rsid w:val="66E42848"/>
    <w:rsid w:val="7C0E08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page number"/>
    <w:basedOn w:val="6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1257</Words>
  <Characters>1257</Characters>
  <Lines>0</Lines>
  <Paragraphs>0</Paragraphs>
  <TotalTime>0</TotalTime>
  <ScaleCrop>false</ScaleCrop>
  <LinksUpToDate>false</LinksUpToDate>
  <CharactersWithSpaces>1598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2022-04-24T01:55:46Z</dcterms:created>
  <dc:creator>Lenovo</dc:creator>
  <cp:lastModifiedBy>蓉儿</cp:lastModifiedBy>
  <dcterms:modified xsi:type="dcterms:W3CDTF">2022-05-06T09:25:47Z</dcterms:modified>
  <dc:title>《国企财务管理、资金收支、费用报销等环节规范性》提纲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E77936091FB0459899DCB9D9DFE588E3</vt:lpwstr>
  </property>
</Properties>
</file>