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国有企业投融资管理与投资后子企业的管理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 xml:space="preserve">第一讲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投资业务开展及流程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接洽项目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拟定投资方案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</w:rPr>
      </w:pP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</w:rPr>
        <w:t>提供咨询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  <w:lang w:val="en-US"/>
        </w:rPr>
      </w:pP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color w:val="auto"/>
          <w:spacing w:val="0"/>
          <w:w w:val="100"/>
          <w:position w:val="0"/>
          <w:sz w:val="21"/>
          <w:szCs w:val="21"/>
          <w:shd w:val="clear" w:color="auto" w:fill="auto"/>
        </w:rPr>
        <w:t>资格条件初审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项目审定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投资方案可行性论证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项目评审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投资方案决策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进行尽职调查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投资计划编制与审批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领导评审决策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签订合同、投放资金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投资计划实施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br w:type="textWrapping"/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投资项目管理与监控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投资项目的到期处置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九、投资业务全流程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项目搜集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项目初审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签署保密协议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立项申请与立项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五）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尽职调查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六）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投资决策委员会审查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（七）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签订投资协议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八）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对项目企业的跟踪管理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en-US" w:eastAsia="zh-CN"/>
        </w:rPr>
        <w:t>（九）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  <w:t>投资的退出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C00000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</w:rPr>
        <w:t>投资回收期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  <w:t>回收率测算</w:t>
      </w:r>
    </w:p>
    <w:p>
      <w:pPr>
        <w:numPr>
          <w:ilvl w:val="0"/>
          <w:numId w:val="2"/>
        </w:num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静态</w:t>
      </w:r>
      <w:r>
        <w:rPr>
          <w:rFonts w:hint="eastAsia" w:ascii="微软雅黑" w:hAnsi="微软雅黑" w:eastAsia="微软雅黑" w:cs="微软雅黑"/>
          <w:color w:val="auto"/>
          <w:szCs w:val="21"/>
        </w:rPr>
        <w:t>投资回收期的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numPr>
          <w:ilvl w:val="0"/>
          <w:numId w:val="3"/>
        </w:numPr>
        <w:spacing w:line="0" w:lineRule="atLeast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</w:rPr>
        <w:t>公式法</w:t>
      </w:r>
    </w:p>
    <w:p>
      <w:pPr>
        <w:numPr>
          <w:ilvl w:val="0"/>
          <w:numId w:val="3"/>
        </w:numPr>
        <w:spacing w:line="0" w:lineRule="atLeast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</w:rPr>
        <w:t>列表法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动态</w:t>
      </w:r>
      <w:r>
        <w:rPr>
          <w:rFonts w:hint="eastAsia" w:ascii="微软雅黑" w:hAnsi="微软雅黑" w:eastAsia="微软雅黑" w:cs="微软雅黑"/>
          <w:color w:val="auto"/>
          <w:szCs w:val="21"/>
        </w:rPr>
        <w:t>投资回收期的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  <w:t>投资回收率法的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测算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 xml:space="preserve">案例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某企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</w:rPr>
        <w:t>投资回收期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Cs w:val="21"/>
          <w:lang w:val="en-US" w:eastAsia="zh-CN"/>
        </w:rPr>
        <w:t>回收率测算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Cs w:val="21"/>
          <w:lang w:val="en-US" w:eastAsia="zh-CN"/>
        </w:rPr>
        <w:t>第三讲  其他投资决策方法的应用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Cs w:val="21"/>
        </w:rPr>
        <w:t>净现值</w:t>
      </w:r>
      <w:r>
        <w:rPr>
          <w:rFonts w:hint="eastAsia" w:ascii="微软雅黑" w:hAnsi="微软雅黑" w:eastAsia="微软雅黑" w:cs="微软雅黑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Cs w:val="21"/>
        </w:rPr>
        <w:t>现值指数法的应用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Cs w:val="21"/>
        </w:rPr>
        <w:t xml:space="preserve">内含报酬率法的应用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一）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含义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判断标准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Cs w:val="21"/>
        </w:rPr>
        <w:t>各种方法的综合应用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 xml:space="preserve">案例  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某企业固定资产投资决策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1. 现金流量图解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shd w:val="clear" w:color="auto" w:fill="auto"/>
          <w:vertAlign w:val="baseline"/>
        </w:rPr>
        <w:t>2.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shd w:val="clear" w:color="auto" w:fill="auto"/>
          <w:vertAlign w:val="baseline"/>
        </w:rPr>
        <w:t>计算财务净现值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default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3.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敏感性分析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 xml:space="preserve">第四讲  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企业投资决策中的税收筹划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企业投资方式的税收筹划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直接投资的税收筹划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>
        <w:rPr>
          <w:rFonts w:hint="eastAsia" w:ascii="微软雅黑" w:hAnsi="微软雅黑" w:eastAsia="微软雅黑" w:cs="mn-cs"/>
          <w:b w:val="0"/>
          <w:bCs/>
          <w:color w:val="auto"/>
          <w:sz w:val="21"/>
          <w:szCs w:val="21"/>
          <w:vertAlign w:val="baseli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、直接投资筹划方案常规评估方法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、无形资产直接投资方式选择策略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、现汇投资方式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 xml:space="preserve">案例 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固定资产投资更新决策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sz w:val="21"/>
          <w:szCs w:val="21"/>
        </w:rPr>
        <w:t>间接投资的税收筹划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1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、股票投资的税收筹划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2、股权转让的税收筹划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、采用不同投资结构的税收筹划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企业组织形式的税收筹划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sz w:val="21"/>
          <w:szCs w:val="21"/>
        </w:rPr>
        <w:t>企业组织形式的选择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</w:rPr>
        <w:t>1、私营企业与个体工商户的选择筹划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2、股份有限公司和合伙企业的选择筹划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3、有限责任公司和股份有限公司的选择筹划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（二）子</w:t>
      </w:r>
      <w:r>
        <w:rPr>
          <w:rFonts w:hint="eastAsia" w:ascii="微软雅黑" w:hAnsi="微软雅黑" w:eastAsia="微软雅黑" w:cs="微软雅黑"/>
          <w:sz w:val="21"/>
          <w:szCs w:val="21"/>
        </w:rPr>
        <w:t>公司和分公司的选择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/>
        </w:rPr>
      </w:pP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1、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/>
        </w:rPr>
        <w:t>子公司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的特点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/>
        </w:rPr>
      </w:pP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2、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/>
        </w:rPr>
        <w:t>分公司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的特点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11"/>
          <w:left w:val="none" w:color="auto" w:sz="0" w:space="0"/>
          <w:bottom w:val="none" w:color="auto" w:sz="0" w:space="11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3、比较</w:t>
      </w:r>
      <w:r>
        <w:rPr>
          <w:rStyle w:val="6"/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/>
        </w:rPr>
        <w:t>选择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投资地点的税收筹划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11"/>
          <w:left w:val="none" w:color="auto" w:sz="0" w:space="0"/>
          <w:bottom w:val="none" w:color="auto" w:sz="0" w:space="11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（一）国际投资注册地点的筹划</w:t>
      </w:r>
    </w:p>
    <w:p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11"/>
          <w:left w:val="none" w:color="auto" w:sz="0" w:space="0"/>
          <w:bottom w:val="none" w:color="auto" w:sz="0" w:space="11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（二）国内注册地点的筹划</w:t>
      </w:r>
      <w:r>
        <w:rPr>
          <w:rFonts w:hint="eastAsia" w:ascii="微软雅黑" w:hAnsi="微软雅黑" w:eastAsia="微软雅黑" w:cs="微软雅黑"/>
          <w:sz w:val="21"/>
          <w:szCs w:val="21"/>
        </w:rPr>
        <w:cr/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t>投资行业的税收筹划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（一）进行投资行业的纳税筹划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（二）投资行业选择过程中应注意的问题及可供选择的渠道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</w:rPr>
        <w:t>投资结构的税务筹划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税基宽窄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税率高低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纳税成本高低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</w:rPr>
        <w:t>投资过程的税务筹划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（一）投资规模的水平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（二）投资项目的确定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（三）投资伙伴的选择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（四）投资意向的选择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（五）税收屏蔽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  <w:t>项目投资的税务筹划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（一）利用固定资产计提折旧可以冲减利润的办法进行节税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sz w:val="21"/>
          <w:szCs w:val="21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（二）积极主动地去适应税制变化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color w:val="000000"/>
          <w:kern w:val="24"/>
          <w:sz w:val="21"/>
          <w:szCs w:val="21"/>
          <w:vertAlign w:val="baseline"/>
        </w:rPr>
        <w:t>（三）在固定资产投资时，充分筹划再投资项目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eastAsia="zh-CN"/>
        </w:rPr>
        <w:t>：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  <w:t>比较分析</w:t>
      </w:r>
    </w:p>
    <w:p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  <w:t>企业并购的税务筹划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案例  振邦集团公司并购的纳税筹划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方案一：资产买卖行为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方案二：产权交易行为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——承债式整体并购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方案三：产权交易行为——先分后并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固定资产投资的税务筹划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第一种，直接购买固定资产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第二种，股东直接用固定资产投资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第三种，企业重组、合并方式取得的资产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第四种，股东无偿调拨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案例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</w:rPr>
        <w:t>某公司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固定资产投资</w:t>
      </w:r>
      <w:r>
        <w:rPr>
          <w:rFonts w:hint="eastAsia" w:ascii="微软雅黑" w:hAnsi="微软雅黑" w:eastAsia="微软雅黑" w:cs="微软雅黑"/>
          <w:color w:val="auto"/>
        </w:rPr>
        <w:t>税务筹划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研发的税务管理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(一) 研发税务管理的主要内容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 xml:space="preserve"> 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(二) 研发税收筹划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案例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某企业研发新产品税务筹划 </w:t>
      </w:r>
    </w:p>
    <w:p>
      <w:pPr>
        <w:pStyle w:val="4"/>
        <w:widowControl/>
        <w:spacing w:beforeAutospacing="0" w:afterAutospacing="0" w:line="0" w:lineRule="atLeast"/>
        <w:rPr>
          <w:rFonts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十一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、对外股权投资的税务管理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筹划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outlineLvl w:val="9"/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  <w:lang w:val="en-US" w:eastAsia="zh-CN"/>
        </w:rPr>
        <w:t>十二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FFFFFF"/>
        </w:rPr>
        <w:t>、企业权益性投资收益的税务管理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筹划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b w:val="0"/>
          <w:bCs w:val="0"/>
          <w:color w:val="auto"/>
          <w:sz w:val="21"/>
          <w:szCs w:val="21"/>
        </w:rPr>
      </w:pP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eastAsia="zh-CN"/>
        </w:rPr>
        <w:t>（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  <w:lang w:val="en-US" w:eastAsia="zh-CN"/>
        </w:rPr>
        <w:t>一）</w:t>
      </w:r>
      <w:r>
        <w:rPr>
          <w:rFonts w:hint="eastAsia" w:ascii="微软雅黑" w:hAnsi="微软雅黑" w:eastAsia="微软雅黑" w:cs="mn-cs"/>
          <w:b w:val="0"/>
          <w:bCs w:val="0"/>
          <w:color w:val="auto"/>
          <w:kern w:val="24"/>
          <w:sz w:val="21"/>
          <w:szCs w:val="21"/>
          <w:vertAlign w:val="baseline"/>
        </w:rPr>
        <w:t>权益性投资收益的确认时间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default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（二）符合</w:t>
      </w:r>
      <w:r>
        <w:rPr>
          <w:rFonts w:hint="eastAsia"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条件的权益性投资收益可免税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Fonts w:hint="eastAsia" w:ascii="微软雅黑" w:hAnsi="微软雅黑" w:eastAsia="微软雅黑" w:cs="微软雅黑"/>
          <w:color w:val="5307B2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十三、</w:t>
      </w:r>
      <w:r>
        <w:rPr>
          <w:rFonts w:hint="eastAsia" w:ascii="微软雅黑" w:hAnsi="微软雅黑" w:eastAsia="微软雅黑" w:cs="微软雅黑"/>
          <w:color w:val="auto"/>
        </w:rPr>
        <w:t>金融投资的税务筹划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  <w:t>常规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</w:rPr>
        <w:t>融资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eastAsia="zh-CN"/>
        </w:rPr>
        <w:t>模式操作流程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val="en-US" w:eastAsia="zh-CN"/>
        </w:rPr>
        <w:t>一、银行贷款</w:t>
      </w:r>
      <w:r>
        <w:rPr>
          <w:rFonts w:hint="eastAsia" w:ascii="微软雅黑" w:hAnsi="微软雅黑" w:eastAsia="微软雅黑" w:cs="微软雅黑"/>
          <w:sz w:val="21"/>
          <w:szCs w:val="21"/>
        </w:rPr>
        <w:t>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高新</w:t>
      </w:r>
      <w:r>
        <w:rPr>
          <w:rFonts w:hint="eastAsia" w:ascii="微软雅黑" w:hAnsi="微软雅黑" w:eastAsia="微软雅黑" w:cs="微软雅黑"/>
          <w:sz w:val="21"/>
          <w:szCs w:val="21"/>
        </w:rPr>
        <w:t>技术融资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项目包装融资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统借统还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融资模式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债务重组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融资模式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</w:rPr>
        <w:t>融资性售后回租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  <w:shd w:val="clear" w:color="auto" w:fill="FFFFFF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BOT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0000CC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TOT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ABS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PPP项目融资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模式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Cs w:val="21"/>
          <w:shd w:val="clear" w:color="auto" w:fill="FFFFFF"/>
          <w:lang w:eastAsia="zh-CN"/>
        </w:rPr>
        <w:t>操作流程要点</w:t>
      </w:r>
    </w:p>
    <w:p>
      <w:pPr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shd w:val="clear" w:color="auto" w:fill="FFFFFF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信托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集合信托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auto"/>
          <w:kern w:val="0"/>
          <w:sz w:val="21"/>
          <w:szCs w:val="21"/>
        </w:rPr>
        <w:t>集合债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融资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eastAsia="zh-CN"/>
        </w:rPr>
        <w:t>模式操作流程要点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九、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eastAsia="zh-CN"/>
        </w:rPr>
        <w:t>资产证券化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十、集合票据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i w:val="0"/>
          <w:caps w:val="0"/>
          <w:color w:val="CC0000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第六讲  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如何获取低成本资金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一、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信托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银行投贷联动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资产证券化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互联网理财公司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五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获得低成本资金的基本途径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（一）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增加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"https://www.baidu.com/s?wd=%E7%9B%B4%E6%8E%A5%E8%9E%8D%E8%B5%84&amp;tn=44039180_cpr&amp;fenlei=mv6quAkxTZn0IZRqIHckPjm4nH00T1YkmHT3PHckrjPBn1D1PyDs0ZwV5Hcvrjm3rH6sPfKWUMw85HfYnjn4nH6sgvPsT6KdThsqpZwYTjCEQLGCpyw9Uz4Bmy-bIi4WUvYETgN-TLwGUv3ErjDknj6vn16"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直接融资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比例，避免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"https://www.baidu.com/s?wd=%E9%97%B4%E6%8E%A5%E8%9E%8D%E8%B5%84&amp;tn=44039180_cpr&amp;fenlei=mv6quAkxTZn0IZRqIHckPjm4nH00T1YkmHT3PHckrjPBn1D1PyDs0ZwV5Hcvrjm3rH6sPfKWUMw85HfYnjn4nH6sgvPsT6KdThsqpZwYTjCEQLGCpyw9Uz4Bmy-bIi4WUvYETgN-TLwGUv3ErjDknj6vn16"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间接融资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注重股权融资，避免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instrText xml:space="preserve"> HYPERLINK "https://www.baidu.com/s?wd=%E5%80%BA%E6%9D%83%E8%9E%8D%E8%B5%84&amp;tn=44039180_cpr&amp;fenlei=mv6quAkxTZn0IZRqIHckPjm4nH00T1YkmHT3PHckrjPBn1D1PyDs0ZwV5Hcvrjm3rH6sPfKWUMw85HfYnjn4nH6sgvPsT6KdThsqpZwYTjCEQLGCpyw9Uz4Bmy-bIi4WUvYETgN-TLwGUv3ErjDknj6vn16" \t "https://zhidao.baidu.com/question/_blank"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t>债权融资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（三）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拓展融资渠道，避免融资渠道单一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-2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 xml:space="preserve">  国内6种常见融资渠道的资金成本比较</w:t>
      </w:r>
    </w:p>
    <w:p>
      <w:pPr>
        <w:numPr>
          <w:ilvl w:val="0"/>
          <w:numId w:val="6"/>
        </w:numPr>
        <w:spacing w:before="0" w:after="0" w:line="32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银贷、</w:t>
      </w:r>
    </w:p>
    <w:p>
      <w:pPr>
        <w:numPr>
          <w:ilvl w:val="0"/>
          <w:numId w:val="6"/>
        </w:numPr>
        <w:spacing w:before="0" w:after="0" w:line="32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信托</w:t>
      </w:r>
    </w:p>
    <w:p>
      <w:pPr>
        <w:numPr>
          <w:ilvl w:val="0"/>
          <w:numId w:val="6"/>
        </w:numPr>
        <w:spacing w:before="0" w:after="0" w:line="305" w:lineRule="exact"/>
        <w:ind w:right="-2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基金</w:t>
      </w:r>
    </w:p>
    <w:p>
      <w:pPr>
        <w:numPr>
          <w:ilvl w:val="0"/>
          <w:numId w:val="6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股市委托贷款</w:t>
      </w:r>
    </w:p>
    <w:p>
      <w:pPr>
        <w:numPr>
          <w:ilvl w:val="0"/>
          <w:numId w:val="6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私募</w:t>
      </w:r>
    </w:p>
    <w:p>
      <w:pPr>
        <w:numPr>
          <w:ilvl w:val="0"/>
          <w:numId w:val="6"/>
        </w:numPr>
        <w:spacing w:before="0" w:after="0" w:line="305" w:lineRule="exact"/>
        <w:ind w:right="-20" w:rightChars="0"/>
        <w:jc w:val="left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P2P借贷</w:t>
      </w:r>
    </w:p>
    <w:p>
      <w:pPr>
        <w:numPr>
          <w:ilvl w:val="0"/>
          <w:numId w:val="0"/>
        </w:numPr>
        <w:spacing w:before="0" w:after="0" w:line="305" w:lineRule="exact"/>
        <w:ind w:right="-20" w:rightChars="0"/>
        <w:jc w:val="left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第八讲  母公司对子公司（企业）投资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后的管理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母公司对子公司投资行为进行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的必要性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母公司是出资方,有必要对其进行监管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子公司不恰当的投资行为将提高集团的财务风险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both"/>
        <w:textAlignment w:val="auto"/>
        <w:outlineLvl w:val="9"/>
        <w:rPr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、母公司对子公司投资行为的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措施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完善二者的组织框架，完善治理结构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</w:rPr>
        <w:t>母公司需加强对子公司的投资指标管理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ascii="微软雅黑" w:hAnsi="微软雅黑" w:eastAsia="微软雅黑" w:cs="mn-cs"/>
          <w:b w:val="0"/>
          <w:bCs/>
          <w:color w:val="auto"/>
          <w:kern w:val="24"/>
          <w:sz w:val="21"/>
          <w:szCs w:val="21"/>
          <w:vertAlign w:val="baseline"/>
        </w:rPr>
        <w:t>（三）母公司需加大对子公司投资资金的管理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第九讲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时长：线上7.5小时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</w:t>
      </w:r>
      <w:r>
        <w:rPr>
          <w:rFonts w:hint="eastAsia" w:ascii="微软雅黑" w:hAnsi="微软雅黑" w:eastAsia="微软雅黑" w:cs="微软雅黑"/>
          <w:b w:val="0"/>
          <w:bCs w:val="0"/>
          <w:color w:val="CC0000"/>
          <w:lang w:val="en-US" w:eastAsia="zh-CN"/>
        </w:rPr>
        <w:t xml:space="preserve">                      </w:t>
      </w: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  <w:t>屠建清</w:t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DVqZv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B0CB75"/>
    <w:multiLevelType w:val="singleLevel"/>
    <w:tmpl w:val="59B0CB75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25DEFB2"/>
    <w:multiLevelType w:val="singleLevel"/>
    <w:tmpl w:val="625DEFB2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260E303"/>
    <w:multiLevelType w:val="singleLevel"/>
    <w:tmpl w:val="6260E303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6260E6EA"/>
    <w:multiLevelType w:val="singleLevel"/>
    <w:tmpl w:val="6260E6EA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260E762"/>
    <w:multiLevelType w:val="singleLevel"/>
    <w:tmpl w:val="6260E762"/>
    <w:lvl w:ilvl="0" w:tentative="0">
      <w:start w:val="1"/>
      <w:numFmt w:val="chineseCounting"/>
      <w:suff w:val="nothing"/>
      <w:lvlText w:val="（%1）"/>
      <w:lvlJc w:val="left"/>
    </w:lvl>
  </w:abstractNum>
  <w:abstractNum w:abstractNumId="5">
    <w:nsid w:val="62648469"/>
    <w:multiLevelType w:val="singleLevel"/>
    <w:tmpl w:val="62648469"/>
    <w:lvl w:ilvl="0" w:tentative="0">
      <w:start w:val="1"/>
      <w:numFmt w:val="chineseCounting"/>
      <w:suff w:val="nothing"/>
      <w:lvlText w:val="（%1）"/>
      <w:lvlJc w:val="left"/>
    </w:lvl>
  </w:abstractNum>
  <w:abstractNum w:abstractNumId="6">
    <w:nsid w:val="6264895D"/>
    <w:multiLevelType w:val="singleLevel"/>
    <w:tmpl w:val="6264895D"/>
    <w:lvl w:ilvl="0" w:tentative="0">
      <w:start w:val="8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7F6455"/>
    <w:rsid w:val="095E2042"/>
    <w:rsid w:val="0B521252"/>
    <w:rsid w:val="0CC92E79"/>
    <w:rsid w:val="130F3B91"/>
    <w:rsid w:val="346B3425"/>
    <w:rsid w:val="358B43F9"/>
    <w:rsid w:val="365D0789"/>
    <w:rsid w:val="3EBB7AA3"/>
    <w:rsid w:val="4C330B7A"/>
    <w:rsid w:val="57093B5A"/>
    <w:rsid w:val="58AD7E64"/>
    <w:rsid w:val="5CFF15C1"/>
    <w:rsid w:val="63D05EBB"/>
    <w:rsid w:val="660C1604"/>
    <w:rsid w:val="68352861"/>
    <w:rsid w:val="6D281BB9"/>
    <w:rsid w:val="700C21DD"/>
    <w:rsid w:val="7146136C"/>
    <w:rsid w:val="77D479A9"/>
    <w:rsid w:val="794825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uiPriority w:val="99"/>
    <w:rPr>
      <w:color w:val="06346F"/>
      <w:u w:val="none"/>
    </w:rPr>
  </w:style>
  <w:style w:type="paragraph" w:customStyle="1" w:styleId="9">
    <w:name w:val="列出段落1"/>
    <w:basedOn w:val="1"/>
    <w:qFormat/>
    <w:uiPriority w:val="0"/>
    <w:pPr>
      <w:ind w:firstLine="420"/>
    </w:pPr>
    <w:rPr>
      <w:rFonts w:ascii="等线" w:hAnsi="等线" w:eastAsia="等线"/>
    </w:rPr>
  </w:style>
  <w:style w:type="paragraph" w:customStyle="1" w:styleId="10">
    <w:name w:val="正文文本1"/>
    <w:uiPriority w:val="0"/>
    <w:pPr>
      <w:widowControl w:val="0"/>
      <w:shd w:val="clear" w:color="auto" w:fill="FFFFFF"/>
      <w:spacing w:line="480" w:lineRule="auto"/>
      <w:ind w:firstLine="260"/>
    </w:pPr>
    <w:rPr>
      <w:rFonts w:ascii="新宋体" w:hAnsi="新宋体" w:eastAsia="新宋体" w:cs="新宋体"/>
      <w:sz w:val="42"/>
      <w:szCs w:val="42"/>
      <w:u w:val="none"/>
      <w:lang w:val="zh-CN" w:eastAsia="zh-CN" w:bidi="zh-CN"/>
    </w:rPr>
  </w:style>
  <w:style w:type="paragraph" w:customStyle="1" w:styleId="11">
    <w:name w:val="title"/>
    <w:basedOn w:val="1"/>
    <w:uiPriority w:val="0"/>
    <w:pPr>
      <w:pBdr>
        <w:top w:val="none" w:color="auto" w:sz="0" w:space="11"/>
        <w:left w:val="none" w:color="auto" w:sz="0" w:space="0"/>
        <w:bottom w:val="none" w:color="auto" w:sz="0" w:space="11"/>
        <w:right w:val="none" w:color="auto" w:sz="0" w:space="0"/>
      </w:pBdr>
      <w:jc w:val="center"/>
    </w:pPr>
    <w:rPr>
      <w:b/>
      <w:bCs/>
      <w:sz w:val="32"/>
      <w:szCs w:val="32"/>
    </w:rPr>
  </w:style>
  <w:style w:type="paragraph" w:customStyle="1" w:styleId="12">
    <w:name w:val="p"/>
    <w:basedOn w:val="1"/>
    <w:uiPriority w:val="0"/>
    <w:pPr>
      <w:spacing w:line="525" w:lineRule="atLeast"/>
      <w:ind w:firstLine="375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1710</Words>
  <Characters>1725</Characters>
  <Lines>0</Lines>
  <Paragraphs>0</Paragraphs>
  <TotalTime>0</TotalTime>
  <ScaleCrop>false</ScaleCrop>
  <LinksUpToDate>false</LinksUpToDate>
  <CharactersWithSpaces>1814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2022-04-18T08:21:54Z</dcterms:created>
  <dc:creator>Lenovo</dc:creator>
  <cp:lastModifiedBy>蓉儿</cp:lastModifiedBy>
  <dcterms:modified xsi:type="dcterms:W3CDTF">2022-05-06T09:23:21Z</dcterms:modified>
  <dc:title>  《国有企业投融资管理与投资后子企业的管理》提纲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79490DBE918849BAA81DEF318510BF26</vt:lpwstr>
  </property>
</Properties>
</file>