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 xml:space="preserve">        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 xml:space="preserve"> 《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/>
        </w:rPr>
        <w:t>国有企业资本运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作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/>
        </w:rPr>
        <w:t>与产权交易实务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》提纲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第一讲  资本运作概述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资本的含义、特点、构成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资本运作的含义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资本运作的两个层次：狭义、广义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0070C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四、资本运作的原则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五、资本运作的特点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六、资本运作的风险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七、资本运作方式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八、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国有企业资本运作的四个维度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案例  国美电器资本运作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  <w:t>▲本讲互动与答疑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第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eastAsia="zh-CN"/>
        </w:rPr>
        <w:t>讲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资本运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>作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的分类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eastAsia="zh-CN"/>
        </w:rPr>
        <w:t>与模式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一、资本运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作</w:t>
      </w:r>
      <w:r>
        <w:rPr>
          <w:rFonts w:hint="eastAsia" w:ascii="微软雅黑" w:hAnsi="微软雅黑" w:eastAsia="微软雅黑" w:cs="微软雅黑"/>
          <w:sz w:val="21"/>
          <w:szCs w:val="21"/>
        </w:rPr>
        <w:t>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（一）按资本运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作</w:t>
      </w:r>
      <w:r>
        <w:rPr>
          <w:rFonts w:hint="eastAsia" w:ascii="微软雅黑" w:hAnsi="微软雅黑" w:eastAsia="微软雅黑" w:cs="微软雅黑"/>
          <w:sz w:val="21"/>
          <w:szCs w:val="21"/>
        </w:rPr>
        <w:t>的状态分类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（二）按资本运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作</w:t>
      </w:r>
      <w:r>
        <w:rPr>
          <w:rFonts w:hint="eastAsia" w:ascii="微软雅黑" w:hAnsi="微软雅黑" w:eastAsia="微软雅黑" w:cs="微软雅黑"/>
          <w:sz w:val="21"/>
          <w:szCs w:val="21"/>
        </w:rPr>
        <w:t>的方式分类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（三）按资本运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作</w:t>
      </w:r>
      <w:r>
        <w:rPr>
          <w:rFonts w:hint="eastAsia" w:ascii="微软雅黑" w:hAnsi="微软雅黑" w:eastAsia="微软雅黑" w:cs="微软雅黑"/>
          <w:sz w:val="21"/>
          <w:szCs w:val="21"/>
        </w:rPr>
        <w:t>的对象分类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（四）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按资本运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作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的全过程分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二、资本运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作</w:t>
      </w:r>
      <w:r>
        <w:rPr>
          <w:rFonts w:hint="eastAsia" w:ascii="微软雅黑" w:hAnsi="微软雅黑" w:eastAsia="微软雅黑" w:cs="微软雅黑"/>
          <w:sz w:val="21"/>
          <w:szCs w:val="21"/>
        </w:rPr>
        <w:t>模式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（一）扩张型资本运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案例  新浪资本运作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（二）收缩型资本运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案例  中国人寿保险资本运作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案例  宇通客车资本运作违规操作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  <w:t>▲本讲互动与答疑</w:t>
      </w:r>
      <w:r>
        <w:rPr>
          <w:rFonts w:hint="eastAsia" w:ascii="微软雅黑" w:hAnsi="微软雅黑" w:eastAsia="微软雅黑" w:cs="微软雅黑"/>
          <w:b/>
          <w:sz w:val="21"/>
          <w:szCs w:val="21"/>
        </w:rPr>
        <w:t xml:space="preserve">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第三讲  国有资本运作企业的市值管理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一、市值管理的概念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default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二、买</w:t>
      </w:r>
      <w:r>
        <w:rPr>
          <w:rStyle w:val="7"/>
          <w:rFonts w:hint="eastAsia" w:ascii="微软雅黑" w:hAnsi="微软雅黑" w:eastAsia="微软雅黑" w:cs="微软雅黑"/>
          <w:b/>
          <w:i w:val="0"/>
          <w:caps w:val="0"/>
          <w:color w:val="191919"/>
          <w:spacing w:val="0"/>
          <w:sz w:val="21"/>
          <w:szCs w:val="21"/>
          <w:shd w:val="clear" w:color="auto" w:fill="FFFFFF"/>
        </w:rPr>
        <w:t>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三、收购与并购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四、借</w:t>
      </w:r>
      <w:r>
        <w:rPr>
          <w:rStyle w:val="7"/>
          <w:rFonts w:hint="eastAsia" w:ascii="微软雅黑" w:hAnsi="微软雅黑" w:eastAsia="微软雅黑" w:cs="微软雅黑"/>
          <w:b/>
          <w:i w:val="0"/>
          <w:caps w:val="0"/>
          <w:color w:val="191919"/>
          <w:spacing w:val="0"/>
          <w:sz w:val="21"/>
          <w:szCs w:val="21"/>
          <w:shd w:val="clear" w:color="auto" w:fill="FFFFFF"/>
        </w:rPr>
        <w:t>壳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上市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五、IPO审核通过后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六、股票公开</w:t>
      </w: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</w:rPr>
        <w:t>和非公开发行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  <w:t>七、新三板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  <w:t>八、可转券和交换券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Style w:val="7"/>
          <w:rFonts w:hint="default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  <w:t>九、债券公开和</w:t>
      </w:r>
      <w:r>
        <w:rPr>
          <w:rStyle w:val="7"/>
          <w:rFonts w:hint="eastAsia" w:ascii="微软雅黑" w:hAnsi="微软雅黑" w:eastAsia="微软雅黑" w:cs="微软雅黑"/>
          <w:b/>
          <w:i w:val="0"/>
          <w:caps w:val="0"/>
          <w:color w:val="191919"/>
          <w:spacing w:val="0"/>
          <w:sz w:val="21"/>
          <w:szCs w:val="21"/>
          <w:shd w:val="clear" w:color="auto" w:fill="FFFFFF"/>
        </w:rPr>
        <w:t>非</w:t>
      </w: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  <w:t>公开发行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  <w:t>十、资管计划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Style w:val="7"/>
          <w:rFonts w:hint="default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  <w:t>▲本讲互动与答疑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第四讲  国有资本运作企业先进管理经验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扩张型资本运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作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（一）扩张型资本运营模式:横向型资本扩张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案例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 xml:space="preserve"> 青岛啤酒厂资本运作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（二）扩张型资本运营模式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:纵向型资本扩张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案例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 xml:space="preserve">   格林柯尔集团纵向型资本扩张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（三）扩张型资本运营模式:混合型资本扩张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 xml:space="preserve">      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 xml:space="preserve"> 案例  美的集团资本运作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收缩型资本运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 w:right="0" w:rightChars="0"/>
        <w:jc w:val="both"/>
        <w:textAlignment w:val="auto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（一）资产剥离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案例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 xml:space="preserve">  中国人寿资产剥离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公司分立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案例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 xml:space="preserve">  杭州南方特种泵业有限公司分立方案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（三）分拆上市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案例  联想集团资本运作</w:t>
      </w: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分拆上市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（四）股份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回购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案例  申能股份有限公司资本运作</w:t>
      </w: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股份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回购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mn-cs"/>
          <w:b w:val="0"/>
          <w:bCs/>
          <w:color w:val="FF0000"/>
          <w:kern w:val="24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案例  鲁润股份资产剥离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/>
          <w:color w:val="0000CC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  <w:t>▲本讲互动与答疑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第五讲  完善产权管理之一：产权界定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一、产权界定的原则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二、产权界定的组织与方法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三、产权纠纷调处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▲本讲互动与答疑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第六讲  完善产权管理之二：产权登记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一、产权登记的基本要素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二、产权登记业务办理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三、产权登记分析报告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四、产权登记的意义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▲本讲互动与答疑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第七讲  完善产权管理之三：产权转让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一、企业国有产权转让的含义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二、企业国有产权转让的基本形式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三、企业国有产权转让的程序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四、企业国有产权转让的批准程序和基本依据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▲本讲互动与答疑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>第八讲  基于某国有企业固定资产产权管理的做法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一、固定</w:t>
      </w:r>
      <w:r>
        <w:rPr>
          <w:rFonts w:hint="eastAsia" w:ascii="微软雅黑" w:hAnsi="微软雅黑" w:eastAsia="微软雅黑" w:cs="微软雅黑"/>
          <w:sz w:val="21"/>
          <w:szCs w:val="21"/>
        </w:rPr>
        <w:t>资产实行产权登记制度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二、固定</w:t>
      </w:r>
      <w:r>
        <w:rPr>
          <w:rFonts w:hint="eastAsia" w:ascii="微软雅黑" w:hAnsi="微软雅黑" w:eastAsia="微软雅黑" w:cs="微软雅黑"/>
          <w:sz w:val="21"/>
          <w:szCs w:val="21"/>
        </w:rPr>
        <w:t>资产购置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报批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三、固定资产</w:t>
      </w:r>
      <w:r>
        <w:rPr>
          <w:rFonts w:hint="eastAsia" w:ascii="微软雅黑" w:hAnsi="微软雅黑" w:eastAsia="微软雅黑" w:cs="微软雅黑"/>
          <w:sz w:val="21"/>
          <w:szCs w:val="21"/>
        </w:rPr>
        <w:t>评估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范围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（一）公司合并、分立、解散、清算、破产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（二）整体或部分资产产权转让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（三）资产置换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</w:rPr>
        <w:t>四）以非货币资产偿还债务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（五）接受非国有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企业（单</w:t>
      </w:r>
      <w:r>
        <w:rPr>
          <w:rFonts w:hint="eastAsia" w:ascii="微软雅黑" w:hAnsi="微软雅黑" w:eastAsia="微软雅黑" w:cs="微软雅黑"/>
          <w:sz w:val="21"/>
          <w:szCs w:val="21"/>
        </w:rPr>
        <w:t>位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）</w:t>
      </w:r>
      <w:r>
        <w:rPr>
          <w:rFonts w:hint="eastAsia" w:ascii="微软雅黑" w:hAnsi="微软雅黑" w:eastAsia="微软雅黑" w:cs="微软雅黑"/>
          <w:sz w:val="21"/>
          <w:szCs w:val="21"/>
        </w:rPr>
        <w:t>以非货币资产出资、抵债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 xml:space="preserve">（六）其他需要进行评估事项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>第九讲  全面互动答疑与课程总结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  <w:lang w:val="en-US" w:eastAsia="zh-CN"/>
        </w:rPr>
        <w:t>时长：线下1天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0000FF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 xml:space="preserve">                                        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  <w:lang w:val="en-US" w:eastAsia="zh-CN"/>
        </w:rPr>
        <w:t xml:space="preserve"> 编制与讲解：</w:t>
      </w:r>
      <w:r>
        <w:rPr>
          <w:rFonts w:hint="eastAsia" w:ascii="微软雅黑" w:hAnsi="微软雅黑" w:eastAsia="微软雅黑" w:cs="微软雅黑"/>
          <w:b/>
          <w:bCs/>
          <w:color w:val="0000FF"/>
          <w:sz w:val="30"/>
          <w:szCs w:val="30"/>
          <w:lang w:val="en-US" w:eastAsia="zh-CN"/>
        </w:rPr>
        <w:t>屠建清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n-cs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FpCcj7RAQAApQ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38013A"/>
    <w:multiLevelType w:val="singleLevel"/>
    <w:tmpl w:val="6138013A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1380F1E"/>
    <w:multiLevelType w:val="singleLevel"/>
    <w:tmpl w:val="61380F1E"/>
    <w:lvl w:ilvl="0" w:tentative="0">
      <w:start w:val="2"/>
      <w:numFmt w:val="chineseCounting"/>
      <w:suff w:val="nothing"/>
      <w:lvlText w:val="（%1）"/>
      <w:lvlJc w:val="left"/>
    </w:lvl>
  </w:abstractNum>
  <w:abstractNum w:abstractNumId="2">
    <w:nsid w:val="7989C83A"/>
    <w:multiLevelType w:val="singleLevel"/>
    <w:tmpl w:val="7989C83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2BA04B2"/>
    <w:rsid w:val="2BAA2D35"/>
    <w:rsid w:val="36CF2FFD"/>
    <w:rsid w:val="3E3307F0"/>
    <w:rsid w:val="697402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character" w:styleId="7">
    <w:name w:val="Strong"/>
    <w:basedOn w:val="6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983</Words>
  <Characters>985</Characters>
  <Lines>0</Lines>
  <Paragraphs>0</Paragraphs>
  <TotalTime>0</TotalTime>
  <ScaleCrop>false</ScaleCrop>
  <LinksUpToDate>false</LinksUpToDate>
  <CharactersWithSpaces>1134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2022-04-18T08:24:50Z</dcterms:created>
  <dc:creator>Lenovo</dc:creator>
  <cp:lastModifiedBy>蓉儿</cp:lastModifiedBy>
  <dcterms:modified xsi:type="dcterms:W3CDTF">2022-05-06T09:22:48Z</dcterms:modified>
  <dc:title>         《国有企业资本运营与产权交易实务》提纲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8955FFB70CEB40458BB0BADA866350C8</vt:lpwstr>
  </property>
</Properties>
</file>