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《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国企财务管理、资金收支、费用报销等环节规范性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》提纲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导入一  最新企业会计准则与国资委相关要求要点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  <w:t xml:space="preserve">第一讲 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国有制造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  <w:t>业企业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</w:rPr>
        <w:t>全面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shd w:val="clear" w:color="auto" w:fill="auto"/>
        </w:rPr>
        <w:t>预算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shd w:val="clear" w:color="auto" w:fill="auto"/>
          <w:lang w:val="en-US" w:eastAsia="zh-CN"/>
        </w:rPr>
        <w:t>管理与成本控制规范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制造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企业的全面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</w:rPr>
        <w:t>预算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全面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</w:rPr>
        <w:t>预算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管理制度要点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全面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</w:rPr>
        <w:t>预算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管理实施要点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制造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企业的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成本控制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（一）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成本控制管理制度要点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（二）成本控制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  <w:t>实施要点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ascii="微软雅黑" w:hAnsi="微软雅黑" w:eastAsia="微软雅黑" w:cs="微软雅黑"/>
          <w:b/>
          <w:bCs/>
          <w:color w:val="C00000"/>
        </w:rPr>
      </w:pPr>
      <w:r>
        <w:rPr>
          <w:rFonts w:hint="eastAsia" w:ascii="微软雅黑" w:hAnsi="微软雅黑" w:eastAsia="微软雅黑" w:cs="微软雅黑"/>
          <w:b/>
          <w:bCs/>
          <w:color w:val="C00000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bCs/>
          <w:color w:val="C00000"/>
        </w:rPr>
        <w:t xml:space="preserve">讲  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国有制造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  <w:t>业企业</w:t>
      </w:r>
      <w:r>
        <w:rPr>
          <w:rFonts w:hint="eastAsia" w:ascii="微软雅黑" w:hAnsi="微软雅黑" w:eastAsia="微软雅黑" w:cs="微软雅黑"/>
          <w:b/>
          <w:bCs/>
          <w:color w:val="C00000"/>
        </w:rPr>
        <w:t>营运资金管理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shd w:val="clear" w:color="auto" w:fill="auto"/>
          <w:lang w:val="en-US" w:eastAsia="zh-CN"/>
        </w:rPr>
        <w:t>规范</w:t>
      </w:r>
    </w:p>
    <w:p>
      <w:pPr>
        <w:numPr>
          <w:ilvl w:val="0"/>
          <w:numId w:val="2"/>
        </w:numPr>
        <w:spacing w:line="0" w:lineRule="atLeast"/>
        <w:rPr>
          <w:b/>
        </w:rPr>
      </w:pPr>
      <w:r>
        <w:rPr>
          <w:rFonts w:hint="eastAsia" w:ascii="微软雅黑" w:hAnsi="微软雅黑" w:eastAsia="微软雅黑" w:cs="微软雅黑"/>
          <w:lang w:val="en-US" w:eastAsia="zh-CN"/>
        </w:rPr>
        <w:t>企业</w:t>
      </w:r>
      <w:r>
        <w:rPr>
          <w:rFonts w:hint="eastAsia" w:ascii="微软雅黑" w:hAnsi="微软雅黑" w:eastAsia="微软雅黑" w:cs="微软雅黑"/>
        </w:rPr>
        <w:t>营运资金</w:t>
      </w:r>
      <w:r>
        <w:rPr>
          <w:rFonts w:hint="eastAsia" w:ascii="微软雅黑" w:hAnsi="微软雅黑" w:eastAsia="微软雅黑" w:cs="微软雅黑"/>
          <w:lang w:val="en-US" w:eastAsia="zh-CN"/>
        </w:rPr>
        <w:t>概述</w:t>
      </w:r>
    </w:p>
    <w:p>
      <w:pPr>
        <w:numPr>
          <w:ilvl w:val="0"/>
          <w:numId w:val="2"/>
        </w:numPr>
        <w:spacing w:line="0" w:lineRule="atLeast"/>
        <w:rPr>
          <w:b/>
        </w:rPr>
      </w:pPr>
      <w:r>
        <w:rPr>
          <w:rFonts w:hint="eastAsia" w:ascii="微软雅黑" w:hAnsi="微软雅黑" w:eastAsia="微软雅黑" w:cs="微软雅黑"/>
          <w:lang w:val="en-US" w:eastAsia="zh-CN"/>
        </w:rPr>
        <w:t>企业</w:t>
      </w:r>
      <w:r>
        <w:rPr>
          <w:rFonts w:hint="eastAsia" w:ascii="微软雅黑" w:hAnsi="微软雅黑" w:eastAsia="微软雅黑" w:cs="微软雅黑"/>
        </w:rPr>
        <w:t>营运资金管理操作</w:t>
      </w:r>
      <w:r>
        <w:rPr>
          <w:rFonts w:hint="eastAsia" w:ascii="微软雅黑" w:hAnsi="微软雅黑" w:eastAsia="微软雅黑" w:cs="微软雅黑"/>
          <w:lang w:val="en-US" w:eastAsia="zh-CN"/>
        </w:rPr>
        <w:t>要点</w:t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案例  格力资金集中管理与运营资金管理绩效评价</w:t>
      </w:r>
      <w:r>
        <w:rPr>
          <w:rFonts w:hint="eastAsia" w:ascii="微软雅黑" w:hAnsi="微软雅黑" w:eastAsia="微软雅黑" w:cs="微软雅黑"/>
          <w:b/>
          <w:color w:val="auto"/>
          <w:sz w:val="21"/>
          <w:szCs w:val="21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/>
          <w:color w:val="C00000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Cs w:val="21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/>
          <w:color w:val="C00000"/>
          <w:szCs w:val="21"/>
        </w:rPr>
        <w:t xml:space="preserve">讲  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国有制造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  <w:t>业企业的</w:t>
      </w:r>
      <w:r>
        <w:rPr>
          <w:rFonts w:hint="eastAsia" w:ascii="微软雅黑" w:hAnsi="微软雅黑" w:eastAsia="微软雅黑" w:cs="微软雅黑"/>
          <w:b/>
          <w:color w:val="C00000"/>
          <w:szCs w:val="21"/>
        </w:rPr>
        <w:t>固定资产</w:t>
      </w:r>
      <w:r>
        <w:rPr>
          <w:rFonts w:hint="eastAsia" w:ascii="微软雅黑" w:hAnsi="微软雅黑" w:eastAsia="微软雅黑" w:cs="微软雅黑"/>
          <w:b/>
          <w:color w:val="C00000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shd w:val="clear" w:color="auto" w:fill="auto"/>
          <w:lang w:val="en-US" w:eastAsia="zh-CN"/>
        </w:rPr>
        <w:t>规范</w:t>
      </w:r>
    </w:p>
    <w:p>
      <w:pPr>
        <w:numPr>
          <w:ilvl w:val="0"/>
          <w:numId w:val="3"/>
        </w:numPr>
        <w:tabs>
          <w:tab w:val="left" w:pos="7380"/>
        </w:tabs>
        <w:spacing w:line="0" w:lineRule="atLeast"/>
        <w:rPr>
          <w:rFonts w:hint="eastAsia" w:ascii="微软雅黑" w:hAnsi="微软雅黑" w:eastAsia="微软雅黑" w:cs="微软雅黑"/>
          <w:b w:val="0"/>
          <w:bCs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Cs w:val="21"/>
          <w:lang w:val="en-US" w:eastAsia="zh-CN"/>
        </w:rPr>
        <w:t>固定资产管理流程与管理工具</w:t>
      </w:r>
    </w:p>
    <w:p>
      <w:pPr>
        <w:spacing w:line="0" w:lineRule="atLeast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二、固定资产优化配置</w:t>
      </w:r>
      <w:r>
        <w:rPr>
          <w:rFonts w:hint="eastAsia" w:ascii="微软雅黑" w:hAnsi="微软雅黑" w:eastAsia="微软雅黑" w:cs="微软雅黑"/>
          <w:kern w:val="0"/>
          <w:szCs w:val="21"/>
        </w:rPr>
        <w:t xml:space="preserve"> </w:t>
      </w:r>
    </w:p>
    <w:p>
      <w:pPr>
        <w:spacing w:line="0" w:lineRule="atLeast"/>
        <w:rPr>
          <w:rFonts w:hint="eastAsia" w:ascii="微软雅黑" w:hAnsi="微软雅黑" w:eastAsia="微软雅黑" w:cs="微软雅黑"/>
          <w:b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auto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color w:val="auto"/>
          <w:szCs w:val="21"/>
        </w:rPr>
        <w:t>固定资产</w:t>
      </w:r>
      <w:r>
        <w:rPr>
          <w:rFonts w:hint="eastAsia" w:ascii="微软雅黑" w:hAnsi="微软雅黑" w:eastAsia="微软雅黑" w:cs="微软雅黑"/>
          <w:color w:val="auto"/>
          <w:kern w:val="0"/>
          <w:szCs w:val="21"/>
        </w:rPr>
        <w:t>风险</w:t>
      </w:r>
      <w:r>
        <w:rPr>
          <w:rFonts w:hint="eastAsia" w:ascii="微软雅黑" w:hAnsi="微软雅黑" w:eastAsia="微软雅黑" w:cs="微软雅黑"/>
          <w:color w:val="auto"/>
          <w:kern w:val="0"/>
          <w:szCs w:val="21"/>
          <w:lang w:val="en-US" w:eastAsia="zh-CN"/>
        </w:rPr>
        <w:t>管理</w:t>
      </w:r>
      <w:r>
        <w:rPr>
          <w:rFonts w:hint="eastAsia" w:ascii="微软雅黑" w:hAnsi="微软雅黑" w:eastAsia="微软雅黑" w:cs="微软雅黑"/>
          <w:color w:val="auto"/>
          <w:kern w:val="0"/>
          <w:szCs w:val="21"/>
        </w:rPr>
        <w:t xml:space="preserve"> </w:t>
      </w:r>
    </w:p>
    <w:p>
      <w:pPr>
        <w:spacing w:line="0" w:lineRule="atLeast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Cs w:val="21"/>
        </w:rPr>
        <w:t>固定资产取得环节的</w:t>
      </w:r>
      <w:r>
        <w:rPr>
          <w:rFonts w:hint="eastAsia" w:ascii="微软雅黑" w:hAnsi="微软雅黑" w:eastAsia="微软雅黑" w:cs="微软雅黑"/>
          <w:kern w:val="0"/>
          <w:szCs w:val="21"/>
        </w:rPr>
        <w:t xml:space="preserve">主要风险与主要管控措施 </w:t>
      </w:r>
    </w:p>
    <w:p>
      <w:pPr>
        <w:spacing w:line="0" w:lineRule="atLeas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Cs w:val="21"/>
        </w:rPr>
        <w:t>固定资产更新改造环节的</w:t>
      </w:r>
      <w:r>
        <w:rPr>
          <w:rFonts w:hint="eastAsia" w:ascii="微软雅黑" w:hAnsi="微软雅黑" w:eastAsia="微软雅黑" w:cs="微软雅黑"/>
          <w:kern w:val="0"/>
          <w:szCs w:val="21"/>
        </w:rPr>
        <w:t xml:space="preserve">主要风险与主要管控措施  </w:t>
      </w:r>
    </w:p>
    <w:p>
      <w:pPr>
        <w:spacing w:line="0" w:lineRule="atLeas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szCs w:val="21"/>
        </w:rPr>
        <w:t>固定资产处置环节的</w:t>
      </w:r>
      <w:r>
        <w:rPr>
          <w:rFonts w:hint="eastAsia" w:ascii="微软雅黑" w:hAnsi="微软雅黑" w:eastAsia="微软雅黑" w:cs="微软雅黑"/>
          <w:kern w:val="0"/>
          <w:szCs w:val="21"/>
        </w:rPr>
        <w:t>主要风险与主要管控措施</w:t>
      </w:r>
    </w:p>
    <w:p>
      <w:pPr>
        <w:spacing w:line="0" w:lineRule="atLeast"/>
        <w:rPr>
          <w:rFonts w:hint="eastAsia"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四）</w:t>
      </w:r>
      <w:r>
        <w:rPr>
          <w:rFonts w:hint="eastAsia" w:ascii="微软雅黑" w:hAnsi="微软雅黑" w:eastAsia="微软雅黑" w:cs="微软雅黑"/>
          <w:szCs w:val="21"/>
        </w:rPr>
        <w:t>固定资产清查环节的</w:t>
      </w:r>
      <w:r>
        <w:rPr>
          <w:rFonts w:hint="eastAsia" w:ascii="微软雅黑" w:hAnsi="微软雅黑" w:eastAsia="微软雅黑" w:cs="微软雅黑"/>
          <w:kern w:val="0"/>
          <w:szCs w:val="21"/>
        </w:rPr>
        <w:t>主要风险与主要管控措施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eastAsia="zh-CN"/>
        </w:rPr>
        <w:t>讲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国有制造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  <w:t>业企业的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成本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费用日常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控制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shd w:val="clear" w:color="auto" w:fill="auto"/>
          <w:lang w:val="en-US" w:eastAsia="zh-CN"/>
        </w:rPr>
        <w:t>规范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sz w:val="21"/>
          <w:szCs w:val="21"/>
        </w:rPr>
        <w:t>研制产品未来成本的控制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 w:val="21"/>
          <w:szCs w:val="21"/>
        </w:rPr>
        <w:t>材料采购过程成本的控制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 w:val="21"/>
          <w:szCs w:val="21"/>
        </w:rPr>
        <w:t>产品生产过程成本的控制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sz w:val="21"/>
          <w:szCs w:val="21"/>
        </w:rPr>
        <w:t>销售过程费用的控制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sz w:val="21"/>
          <w:szCs w:val="21"/>
        </w:rPr>
        <w:t>管理费用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sz w:val="21"/>
          <w:szCs w:val="21"/>
        </w:rPr>
        <w:t>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六、财务费用的控制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案例  某制造业企业生产经营</w:t>
      </w:r>
      <w:r>
        <w:rPr>
          <w:rFonts w:hint="eastAsia" w:ascii="微软雅黑" w:hAnsi="微软雅黑" w:eastAsia="微软雅黑" w:cs="微软雅黑"/>
          <w:sz w:val="21"/>
          <w:szCs w:val="21"/>
        </w:rPr>
        <w:t>过程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中成本费用控制的做法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spacing w:line="0" w:lineRule="atLeast"/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</w:rPr>
        <w:t xml:space="preserve">第五讲  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国有企业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</w:rPr>
        <w:t>资金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</w:rPr>
        <w:t>活动合规控制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  <w:t>现</w:t>
      </w:r>
      <w:r>
        <w:rPr>
          <w:rFonts w:hint="eastAsia" w:ascii="微软雅黑" w:hAnsi="微软雅黑" w:eastAsia="微软雅黑" w:cs="微软雅黑"/>
          <w:b w:val="0"/>
          <w:bCs/>
          <w:color w:val="auto"/>
          <w:lang w:val="en-US"/>
        </w:rPr>
        <w:t>金</w:t>
      </w:r>
      <w:r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  <w:t>流规范性管理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  <w:t>（一）现</w:t>
      </w:r>
      <w:r>
        <w:rPr>
          <w:rFonts w:hint="eastAsia" w:ascii="微软雅黑" w:hAnsi="微软雅黑" w:eastAsia="微软雅黑" w:cs="微软雅黑"/>
          <w:b w:val="0"/>
          <w:bCs/>
          <w:color w:val="auto"/>
          <w:lang w:val="en-US"/>
        </w:rPr>
        <w:t>金</w:t>
      </w:r>
      <w:r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  <w:t>流入规范性管理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  <w:t>（二）现</w:t>
      </w:r>
      <w:r>
        <w:rPr>
          <w:rFonts w:hint="eastAsia" w:ascii="微软雅黑" w:hAnsi="微软雅黑" w:eastAsia="微软雅黑" w:cs="微软雅黑"/>
          <w:b w:val="0"/>
          <w:bCs/>
          <w:color w:val="auto"/>
          <w:lang w:val="en-US"/>
        </w:rPr>
        <w:t>金</w:t>
      </w:r>
      <w:r>
        <w:rPr>
          <w:rFonts w:hint="eastAsia" w:ascii="微软雅黑" w:hAnsi="微软雅黑" w:eastAsia="微软雅黑" w:cs="微软雅黑"/>
          <w:b w:val="0"/>
          <w:bCs/>
          <w:color w:val="auto"/>
          <w:lang w:val="en-US" w:eastAsia="zh-CN"/>
        </w:rPr>
        <w:t>流出规范性管理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 w:val="21"/>
          <w:szCs w:val="21"/>
        </w:rPr>
        <w:t>资金运营活动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合规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控制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1"/>
          <w:szCs w:val="21"/>
        </w:rPr>
        <w:t>资金运营活动业务流程</w:t>
      </w: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0" w:lineRule="atLeast"/>
        <w:textAlignment w:val="auto"/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 w:val="21"/>
          <w:szCs w:val="21"/>
        </w:rPr>
        <w:t>资金运营的关键控制点及其控制措施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 w:val="21"/>
          <w:szCs w:val="21"/>
        </w:rPr>
        <w:t>筹资活动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合规</w:t>
      </w:r>
      <w:r>
        <w:rPr>
          <w:rFonts w:hint="eastAsia" w:ascii="微软雅黑" w:hAnsi="微软雅黑" w:eastAsia="微软雅黑" w:cs="微软雅黑"/>
          <w:sz w:val="21"/>
          <w:szCs w:val="21"/>
        </w:rPr>
        <w:t>控制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1"/>
          <w:szCs w:val="21"/>
        </w:rPr>
        <w:t>筹资活动业务流程</w:t>
      </w: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0" w:lineRule="atLeas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 w:val="21"/>
          <w:szCs w:val="21"/>
        </w:rPr>
        <w:t>筹资活动的关键控制点及其控制措施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sz w:val="21"/>
          <w:szCs w:val="21"/>
        </w:rPr>
        <w:t>投资活动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合规</w:t>
      </w:r>
      <w:r>
        <w:rPr>
          <w:rFonts w:hint="eastAsia" w:ascii="微软雅黑" w:hAnsi="微软雅黑" w:eastAsia="微软雅黑" w:cs="微软雅黑"/>
          <w:sz w:val="21"/>
          <w:szCs w:val="21"/>
        </w:rPr>
        <w:t>控制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1"/>
          <w:szCs w:val="21"/>
        </w:rPr>
        <w:t>投资活动业务流程</w:t>
      </w: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0" w:lineRule="atLeas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 w:val="21"/>
          <w:szCs w:val="21"/>
        </w:rPr>
        <w:t>投资活动的关键控制点及其控制措施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第六讲   国有企业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/>
        </w:rPr>
        <w:t>费用报销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规范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差旅费报销规范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营业（销售）费用报销规范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财务费用报销规范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其他管理费用报销规范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制造费用报销规范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案例  华为集团公司差旅费报销的规范做法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第七讲   国有企业财务、经营人员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/>
        </w:rPr>
        <w:t>行为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规范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国有企业财务人员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行为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规范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国有企业经营人员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/>
        </w:rPr>
        <w:t>行为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  <w:t>规范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第八讲   国有企业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/>
        </w:rPr>
        <w:t>经营风险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与管控</w:t>
      </w:r>
    </w:p>
    <w:p>
      <w:pPr>
        <w:widowControl w:val="0"/>
        <w:wordWrap/>
        <w:adjustRightInd/>
        <w:snapToGrid/>
        <w:spacing w:line="0" w:lineRule="atLeast"/>
        <w:ind w:left="0" w:leftChars="0" w:right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企业经营中存在的风险 　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合同风险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（二）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质量风险</w:t>
      </w:r>
    </w:p>
    <w:p>
      <w:pPr>
        <w:widowControl w:val="0"/>
        <w:wordWrap/>
        <w:adjustRightInd/>
        <w:snapToGrid/>
        <w:spacing w:line="0" w:lineRule="atLeast"/>
        <w:ind w:left="0" w:leftChars="0" w:right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三）资金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风险</w:t>
      </w:r>
    </w:p>
    <w:p>
      <w:pPr>
        <w:widowControl w:val="0"/>
        <w:wordWrap/>
        <w:adjustRightInd/>
        <w:snapToGrid/>
        <w:spacing w:line="0" w:lineRule="atLeast"/>
        <w:ind w:right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四）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 xml:space="preserve">市场风险 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 xml:space="preserve">   </w:t>
      </w:r>
    </w:p>
    <w:p>
      <w:pPr>
        <w:widowControl w:val="0"/>
        <w:wordWrap/>
        <w:adjustRightInd/>
        <w:snapToGrid/>
        <w:spacing w:line="0" w:lineRule="atLeast"/>
        <w:ind w:right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 xml:space="preserve">二、存在其经营风险的主要原因 </w:t>
      </w:r>
    </w:p>
    <w:p>
      <w:pPr>
        <w:widowControl w:val="0"/>
        <w:wordWrap/>
        <w:adjustRightInd/>
        <w:snapToGrid/>
        <w:spacing w:line="0" w:lineRule="atLeast"/>
        <w:ind w:left="0" w:leftChars="0" w:right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三、如何对经营风险进行防范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管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控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 xml:space="preserve"> </w:t>
      </w:r>
    </w:p>
    <w:p>
      <w:pPr>
        <w:widowControl w:val="0"/>
        <w:wordWrap/>
        <w:adjustRightInd/>
        <w:snapToGrid/>
        <w:spacing w:line="0" w:lineRule="atLeast"/>
        <w:ind w:left="0" w:leftChars="0" w:right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建立健全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经营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风险管理机制</w:t>
      </w:r>
    </w:p>
    <w:p>
      <w:pPr>
        <w:widowControl w:val="0"/>
        <w:wordWrap/>
        <w:adjustRightInd/>
        <w:snapToGrid/>
        <w:spacing w:line="0" w:lineRule="atLeast"/>
        <w:ind w:right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提高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经营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风险防范意识</w:t>
      </w:r>
    </w:p>
    <w:p>
      <w:pPr>
        <w:widowControl w:val="0"/>
        <w:wordWrap/>
        <w:adjustRightInd/>
        <w:snapToGrid/>
        <w:spacing w:line="0" w:lineRule="atLeast"/>
        <w:ind w:right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b w:val="0"/>
          <w:color w:val="auto"/>
          <w:sz w:val="21"/>
          <w:szCs w:val="21"/>
          <w:lang w:eastAsia="zh-CN"/>
        </w:rPr>
        <w:t>加强企业内部控制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采购业务风险控制设计及运行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1"/>
          <w:szCs w:val="21"/>
        </w:rPr>
        <w:t>采购业务流程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采购业务活动的主要风险及其控制措施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1"/>
          <w:szCs w:val="21"/>
        </w:rPr>
        <w:t>案例</w:t>
      </w:r>
      <w:r>
        <w:rPr>
          <w:rFonts w:hint="eastAsia" w:ascii="微软雅黑" w:hAnsi="微软雅黑" w:eastAsia="微软雅黑" w:cs="微软雅黑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价格昂贵的赝品水晶灯挂进新龙湾大酒店</w:t>
      </w:r>
      <w:r>
        <w:rPr>
          <w:rFonts w:hint="eastAsia" w:ascii="微软雅黑" w:hAnsi="微软雅黑" w:eastAsia="微软雅黑" w:cs="微软雅黑"/>
          <w:b/>
          <w:kern w:val="0"/>
          <w:sz w:val="18"/>
          <w:szCs w:val="18"/>
        </w:rPr>
        <w:t xml:space="preserve">                     </w:t>
      </w:r>
      <w:r>
        <w:rPr>
          <w:rFonts w:hint="eastAsia" w:ascii="微软雅黑" w:hAnsi="微软雅黑" w:eastAsia="微软雅黑" w:cs="微软雅黑"/>
          <w:b/>
          <w:kern w:val="0"/>
          <w:szCs w:val="21"/>
        </w:rPr>
        <w:t xml:space="preserve">                                                                               </w:t>
      </w:r>
      <w:r>
        <w:rPr>
          <w:rFonts w:hint="eastAsia" w:ascii="微软雅黑" w:hAnsi="微软雅黑" w:eastAsia="微软雅黑" w:cs="微软雅黑"/>
          <w:b/>
          <w:szCs w:val="21"/>
        </w:rPr>
        <w:t xml:space="preserve">                                       </w:t>
      </w:r>
      <w:r>
        <w:rPr>
          <w:rFonts w:hint="eastAsia" w:ascii="微软雅黑" w:hAnsi="微软雅黑" w:eastAsia="微软雅黑" w:cs="微软雅黑"/>
          <w:b/>
          <w:sz w:val="24"/>
        </w:rPr>
        <w:t xml:space="preserve">                </w:t>
      </w:r>
      <w:r>
        <w:rPr>
          <w:rFonts w:hint="eastAsia" w:ascii="微软雅黑" w:hAnsi="微软雅黑" w:eastAsia="微软雅黑" w:cs="微软雅黑"/>
          <w:b/>
          <w:szCs w:val="21"/>
        </w:rPr>
        <w:t xml:space="preserve">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销售业务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风险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与管控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 (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)销售业务主要风险点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 (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)销售计划管控措施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 (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)客户开发与信用管控措施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 (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)销售定价管控措施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(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)订立销售合同管控措施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(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)发货管控措施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案例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某企业销售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业务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风险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管控的做法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九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讲  存货风险管控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sz w:val="21"/>
          <w:szCs w:val="21"/>
        </w:rPr>
        <w:t>存货风险分析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 w:val="21"/>
          <w:szCs w:val="21"/>
        </w:rPr>
        <w:t>存货风险识别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 w:val="21"/>
          <w:szCs w:val="21"/>
        </w:rPr>
        <w:t>存货风险控制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eastAsia="zh-CN"/>
        </w:rPr>
        <w:t>十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讲  固定资产风险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与管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一、固定资产取得与验收的风险控制设计及运行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二、固定资产技术改造风险控制设计及运行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三、固定资产处置风险控制设计及运行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四、固定资产抵押、质押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五、固定资产登记清册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案例  利用职务之便骗取国有财产64万元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第十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讲  项目投资风险管控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sz w:val="21"/>
          <w:szCs w:val="21"/>
        </w:rPr>
        <w:t>项目投资风险识别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 w:val="21"/>
          <w:szCs w:val="21"/>
        </w:rPr>
        <w:t>项目投资风险评估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 w:val="21"/>
          <w:szCs w:val="21"/>
        </w:rPr>
        <w:t>项目投资风险控制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kern w:val="0"/>
          <w:sz w:val="21"/>
          <w:szCs w:val="21"/>
        </w:rPr>
        <w:t>※</w:t>
      </w:r>
      <w:r>
        <w:rPr>
          <w:rFonts w:hint="eastAsia" w:ascii="微软雅黑" w:hAnsi="微软雅黑" w:eastAsia="微软雅黑" w:cs="微软雅黑"/>
          <w:b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投资管理风险与防范汇总表</w:t>
      </w:r>
      <w:r>
        <w:rPr>
          <w:rFonts w:hint="eastAsia" w:ascii="微软雅黑" w:hAnsi="微软雅黑" w:eastAsia="微软雅黑" w:cs="微软雅黑"/>
          <w:b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▲本讲互动与答疑</w:t>
      </w:r>
      <w:r>
        <w:rPr>
          <w:rFonts w:hint="eastAsia" w:ascii="微软雅黑" w:hAnsi="微软雅黑" w:eastAsia="微软雅黑" w:cs="微软雅黑"/>
          <w:b/>
          <w:sz w:val="21"/>
          <w:szCs w:val="21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第十二讲   国有企业财务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/>
        </w:rPr>
        <w:t>风险</w:t>
      </w: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与管控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b w:val="0"/>
          <w:bCs/>
          <w:color w:val="000000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  <w:t>一、</w:t>
      </w: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</w:rPr>
        <w:t>基于现金流量的财务风险识别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b w:val="0"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</w:rPr>
        <w:t>从经营活动识别财务风险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b w:val="0"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</w:rPr>
        <w:t>从投资活动识别财务风险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b w:val="0"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</w:rPr>
        <w:t>从筹资活动识别财务风险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b w:val="0"/>
          <w:bCs/>
          <w:color w:val="000000"/>
          <w:sz w:val="21"/>
          <w:szCs w:val="21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  <w:t>二、</w:t>
      </w: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</w:rPr>
        <w:t>基于现金流量的财务风险</w:t>
      </w: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1"/>
          <w:szCs w:val="21"/>
          <w:lang w:val="en-US" w:eastAsia="zh-CN"/>
        </w:rPr>
        <w:t>管控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加强现金流管理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从现金流量视角构建财务预警体系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  <w:t>加强对经营、投资筹资活动的监控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15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十三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讲  现金风险及管控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sz w:val="21"/>
          <w:szCs w:val="21"/>
        </w:rPr>
        <w:t>现金风险分析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 w:val="21"/>
          <w:szCs w:val="21"/>
        </w:rPr>
        <w:t>现金风险控制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kern w:val="0"/>
          <w:sz w:val="21"/>
          <w:szCs w:val="21"/>
        </w:rPr>
        <w:t>※</w:t>
      </w:r>
      <w:r>
        <w:rPr>
          <w:rFonts w:hint="eastAsia" w:ascii="微软雅黑" w:hAnsi="微软雅黑" w:eastAsia="微软雅黑" w:cs="微软雅黑"/>
          <w:b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 xml:space="preserve">现金管理风险与防范汇总表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十四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讲  资金营运风险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eastAsia="zh-CN"/>
        </w:rPr>
        <w:t>管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资金运营风险控制的目标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 w:val="21"/>
          <w:szCs w:val="21"/>
        </w:rPr>
        <w:t>资金营运活动的业务流程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 w:val="21"/>
          <w:szCs w:val="21"/>
        </w:rPr>
        <w:t>资金运营内部控制的关键风险控制点、控制目标与控制措施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kern w:val="0"/>
          <w:sz w:val="21"/>
          <w:szCs w:val="21"/>
        </w:rPr>
        <w:t>※</w:t>
      </w:r>
      <w:r>
        <w:rPr>
          <w:rFonts w:hint="eastAsia" w:ascii="微软雅黑" w:hAnsi="微软雅黑" w:eastAsia="微软雅黑" w:cs="微软雅黑"/>
          <w:b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资金日常管理防范措施</w:t>
      </w: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 xml:space="preserve">汇总表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案例五  千万元“小金库”现形记</w:t>
      </w: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▲本讲互动与答疑</w:t>
      </w:r>
      <w:r>
        <w:rPr>
          <w:rFonts w:hint="eastAsia" w:ascii="微软雅黑" w:hAnsi="微软雅黑" w:eastAsia="微软雅黑" w:cs="微软雅黑"/>
          <w:kern w:val="0"/>
          <w:sz w:val="21"/>
          <w:szCs w:val="21"/>
        </w:rPr>
        <w:t xml:space="preserve">                                                                                                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十五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讲  付款业务风险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eastAsia="zh-CN"/>
        </w:rPr>
        <w:t>管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一、付款业务概述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二、付款业务流程的主要风险及其控制措施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>十六</w:t>
      </w: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</w:rPr>
        <w:t>讲  应收账款风险管控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sz w:val="21"/>
          <w:szCs w:val="21"/>
        </w:rPr>
        <w:t>应收账款风险分析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sz w:val="21"/>
          <w:szCs w:val="21"/>
        </w:rPr>
        <w:t>应收账款风险控制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eastAsia="zh-CN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十七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eastAsia="zh-CN"/>
        </w:rPr>
        <w:t>讲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</w:rPr>
        <w:t>合同中的财务风险管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</w:rPr>
        <w:t>、合同中的财务管</w:t>
      </w: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  <w:lang w:val="en-US" w:eastAsia="zh-CN"/>
        </w:rPr>
        <w:t>控状况</w:t>
      </w: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</w:rPr>
        <w:t>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</w:rPr>
        <w:t>合同</w:t>
      </w: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  <w:lang w:val="en-US" w:eastAsia="zh-CN"/>
        </w:rPr>
        <w:t>财务</w:t>
      </w: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</w:rPr>
        <w:t>管</w:t>
      </w: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  <w:lang w:val="en-US" w:eastAsia="zh-CN"/>
        </w:rPr>
        <w:t>控</w:t>
      </w: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</w:rPr>
        <w:t>与财务风险之间的关系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 w:val="21"/>
          <w:szCs w:val="21"/>
        </w:rPr>
        <w:t>财务部门在合同管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控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中的职能细化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1"/>
          <w:szCs w:val="21"/>
        </w:rPr>
        <w:t>细化完善合同管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控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制度，明确岗位职责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重视环境建设，加强宣传培训，动员全员参与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sz w:val="21"/>
          <w:szCs w:val="21"/>
        </w:rPr>
        <w:t>信息化管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控</w:t>
      </w:r>
      <w:r>
        <w:rPr>
          <w:rFonts w:hint="eastAsia" w:ascii="微软雅黑" w:hAnsi="微软雅黑" w:eastAsia="微软雅黑" w:cs="微软雅黑"/>
          <w:sz w:val="21"/>
          <w:szCs w:val="21"/>
        </w:rPr>
        <w:t>、多渠道管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四）</w:t>
      </w:r>
      <w:r>
        <w:rPr>
          <w:rFonts w:hint="eastAsia" w:ascii="微软雅黑" w:hAnsi="微软雅黑" w:eastAsia="微软雅黑" w:cs="微软雅黑"/>
          <w:sz w:val="21"/>
          <w:szCs w:val="21"/>
        </w:rPr>
        <w:t>实行合同全过程管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五）</w:t>
      </w:r>
      <w:r>
        <w:rPr>
          <w:rFonts w:hint="eastAsia" w:ascii="微软雅黑" w:hAnsi="微软雅黑" w:eastAsia="微软雅黑" w:cs="微软雅黑"/>
          <w:sz w:val="21"/>
          <w:szCs w:val="21"/>
        </w:rPr>
        <w:t>在合同管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控</w: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中嵌入内审制度，以达到内控目标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000000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  <w:lang w:val="en-US" w:eastAsia="zh-CN"/>
        </w:rPr>
        <w:t>四、</w:t>
      </w:r>
      <w:r>
        <w:rPr>
          <w:rFonts w:hint="eastAsia" w:ascii="微软雅黑" w:hAnsi="微软雅黑" w:eastAsia="微软雅黑" w:cs="微软雅黑"/>
          <w:b w:val="0"/>
          <w:bCs/>
          <w:sz w:val="21"/>
          <w:szCs w:val="21"/>
        </w:rPr>
        <w:t>财务部门</w:t>
      </w: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</w:rPr>
        <w:t>加强合同</w:t>
      </w: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  <w:lang w:val="en-US" w:eastAsia="zh-CN"/>
        </w:rPr>
        <w:t>控制的措施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hint="eastAsia" w:ascii="微软雅黑" w:hAnsi="微软雅黑" w:eastAsia="微软雅黑" w:cs="微软雅黑"/>
          <w:color w:val="000000"/>
          <w:szCs w:val="21"/>
        </w:rPr>
        <w:t>（一）正确的立足于实际情况，加强财务管理人员的能力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000000"/>
          <w:szCs w:val="21"/>
          <w:highlight w:val="none"/>
        </w:rPr>
        <w:t>（二）完善合同经济的管理制度并正确的实施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color w:val="000000"/>
          <w:szCs w:val="21"/>
          <w:highlight w:val="none"/>
          <w:shd w:val="clear" w:color="auto" w:fill="auto"/>
        </w:rPr>
      </w:pPr>
      <w:r>
        <w:rPr>
          <w:rFonts w:hint="eastAsia" w:ascii="微软雅黑" w:hAnsi="微软雅黑" w:eastAsia="微软雅黑" w:cs="微软雅黑"/>
          <w:color w:val="000000"/>
          <w:szCs w:val="21"/>
          <w:highlight w:val="none"/>
          <w:shd w:val="clear" w:color="auto" w:fill="auto"/>
        </w:rPr>
        <w:t>（三）制定合理的合同经济管理的措施来预防财务的的风险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▲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本讲互动与答疑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  <w:t>第十八讲  全面互动答疑与课程总结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>时长：2天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 xml:space="preserve">                                      编制与讲解：</w:t>
      </w:r>
      <w:r>
        <w:rPr>
          <w:rFonts w:hint="eastAsia" w:ascii="微软雅黑" w:hAnsi="微软雅黑" w:eastAsia="微软雅黑" w:cs="微软雅黑"/>
          <w:b/>
          <w:bCs/>
          <w:color w:val="0000FF"/>
          <w:sz w:val="32"/>
          <w:szCs w:val="32"/>
          <w:lang w:val="en-US" w:eastAsia="zh-CN"/>
        </w:rPr>
        <w:t>屠建清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FF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FpCcj7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632682"/>
    <w:multiLevelType w:val="singleLevel"/>
    <w:tmpl w:val="58632682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08894D6"/>
    <w:multiLevelType w:val="singleLevel"/>
    <w:tmpl w:val="608894D6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60889919"/>
    <w:multiLevelType w:val="singleLevel"/>
    <w:tmpl w:val="60889919"/>
    <w:lvl w:ilvl="0" w:tentative="0">
      <w:start w:val="1"/>
      <w:numFmt w:val="chineseCounting"/>
      <w:suff w:val="nothing"/>
      <w:lvlText w:val="%1、"/>
      <w:lvlJc w:val="left"/>
    </w:lvl>
  </w:abstractNum>
  <w:abstractNum w:abstractNumId="3">
    <w:nsid w:val="6264D31F"/>
    <w:multiLevelType w:val="singleLevel"/>
    <w:tmpl w:val="6264D31F"/>
    <w:lvl w:ilvl="0" w:tentative="0">
      <w:start w:val="1"/>
      <w:numFmt w:val="chineseCounting"/>
      <w:suff w:val="nothing"/>
      <w:lvlText w:val="%1、"/>
      <w:lvlJc w:val="left"/>
    </w:lvl>
  </w:abstractNum>
  <w:abstractNum w:abstractNumId="4">
    <w:nsid w:val="6264D5F9"/>
    <w:multiLevelType w:val="singleLevel"/>
    <w:tmpl w:val="6264D5F9"/>
    <w:lvl w:ilvl="0" w:tentative="0">
      <w:start w:val="1"/>
      <w:numFmt w:val="chineseCounting"/>
      <w:suff w:val="nothing"/>
      <w:lvlText w:val="%1、"/>
      <w:lvlJc w:val="left"/>
    </w:lvl>
  </w:abstractNum>
  <w:abstractNum w:abstractNumId="5">
    <w:nsid w:val="6264D6DD"/>
    <w:multiLevelType w:val="singleLevel"/>
    <w:tmpl w:val="6264D6D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EE01B3"/>
    <w:rsid w:val="14CA4765"/>
    <w:rsid w:val="192509E7"/>
    <w:rsid w:val="1BD92F6F"/>
    <w:rsid w:val="27AB2749"/>
    <w:rsid w:val="38AE00AF"/>
    <w:rsid w:val="4CCC6B8A"/>
    <w:rsid w:val="51D121B3"/>
    <w:rsid w:val="594B0071"/>
    <w:rsid w:val="64961977"/>
    <w:rsid w:val="66E42848"/>
    <w:rsid w:val="7C0E08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page number"/>
    <w:basedOn w:val="6"/>
    <w:unhideWhenUsed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1964</Words>
  <Characters>1965</Characters>
  <Lines>0</Lines>
  <Paragraphs>0</Paragraphs>
  <TotalTime>0</TotalTime>
  <ScaleCrop>false</ScaleCrop>
  <LinksUpToDate>false</LinksUpToDate>
  <CharactersWithSpaces>2486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2022-04-24T01:55:46Z</dcterms:created>
  <dc:creator>Lenovo</dc:creator>
  <cp:lastModifiedBy>蓉儿</cp:lastModifiedBy>
  <dcterms:modified xsi:type="dcterms:W3CDTF">2022-05-06T09:26:21Z</dcterms:modified>
  <dc:title>《国企财务管理、资金收支、费用报销等环节规范性》提纲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D332EA9FB318416FAEAC4FB24AD1121D</vt:lpwstr>
  </property>
</Properties>
</file>