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7"/>
      </w:pPr>
      <w:bookmarkStart w:id="0" w:name="_GoBack"/>
      <w:bookmarkEnd w:id="0"/>
    </w:p>
    <w:tbl>
      <w:tblPr>
        <w:tblStyle w:val="7"/>
        <w:tblW w:w="6669" w:type="dxa"/>
        <w:tblInd w:w="33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6"/>
        <w:gridCol w:w="796"/>
        <w:gridCol w:w="4687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7" w:hRule="atLeast"/>
        </w:trPr>
        <w:tc>
          <w:tcPr>
            <w:tcW w:w="1186" w:type="dxa"/>
            <w:vAlign w:val="top"/>
          </w:tcPr>
          <w:p>
            <w:pPr>
              <w:pStyle w:val="6"/>
              <w:spacing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96" w:type="dxa"/>
            <w:vAlign w:val="top"/>
          </w:tcPr>
          <w:p>
            <w:pPr>
              <w:spacing w:before="32" w:line="191" w:lineRule="auto"/>
              <w:ind w:left="25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3"/>
                <w:szCs w:val="23"/>
              </w:rPr>
              <w:t>1.00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6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1.01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6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1.02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6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6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6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6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1.06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6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1.07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6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1.08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6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1.09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6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1.10</w:t>
            </w:r>
          </w:p>
        </w:tc>
        <w:tc>
          <w:tcPr>
            <w:tcW w:w="4687" w:type="dxa"/>
            <w:vAlign w:val="top"/>
          </w:tcPr>
          <w:p>
            <w:pPr>
              <w:pStyle w:val="6"/>
              <w:spacing w:line="198" w:lineRule="auto"/>
              <w:ind w:left="139"/>
            </w:pPr>
            <w:r>
              <w:rPr>
                <w:b/>
                <w:bCs/>
                <w:spacing w:val="7"/>
              </w:rPr>
              <w:t>创新发展</w:t>
            </w:r>
          </w:p>
          <w:p>
            <w:pPr>
              <w:pStyle w:val="6"/>
              <w:spacing w:before="249" w:line="577" w:lineRule="exact"/>
              <w:ind w:left="143"/>
            </w:pPr>
            <w:r>
              <w:rPr>
                <w:spacing w:val="8"/>
                <w:position w:val="25"/>
              </w:rPr>
              <w:t>动能转换高质量发展</w:t>
            </w:r>
          </w:p>
          <w:p>
            <w:pPr>
              <w:pStyle w:val="6"/>
              <w:spacing w:line="200" w:lineRule="auto"/>
              <w:ind w:left="142"/>
            </w:pPr>
            <w:r>
              <w:rPr>
                <w:spacing w:val="8"/>
              </w:rPr>
              <w:t>创新思维与管理创新</w:t>
            </w:r>
          </w:p>
          <w:p>
            <w:pPr>
              <w:pStyle w:val="6"/>
              <w:spacing w:before="246" w:line="577" w:lineRule="exact"/>
              <w:ind w:left="142"/>
            </w:pPr>
            <w:r>
              <w:rPr>
                <w:spacing w:val="8"/>
                <w:position w:val="25"/>
              </w:rPr>
              <w:t>创新思维与转变经济发展方式</w:t>
            </w:r>
          </w:p>
          <w:p>
            <w:pPr>
              <w:pStyle w:val="6"/>
              <w:spacing w:line="199" w:lineRule="auto"/>
              <w:ind w:left="142"/>
            </w:pPr>
            <w:r>
              <w:rPr>
                <w:spacing w:val="8"/>
              </w:rPr>
              <w:t>制造业转型创新思维</w:t>
            </w:r>
          </w:p>
          <w:p>
            <w:pPr>
              <w:pStyle w:val="6"/>
              <w:spacing w:before="248" w:line="576" w:lineRule="exact"/>
              <w:ind w:left="142"/>
            </w:pPr>
            <w:r>
              <w:rPr>
                <w:spacing w:val="9"/>
                <w:position w:val="25"/>
              </w:rPr>
              <w:t>制造企业的创新思维与战略管理</w:t>
            </w:r>
          </w:p>
          <w:p>
            <w:pPr>
              <w:pStyle w:val="6"/>
              <w:spacing w:line="199" w:lineRule="auto"/>
              <w:ind w:left="156"/>
            </w:pPr>
            <w:r>
              <w:rPr>
                <w:spacing w:val="7"/>
              </w:rPr>
              <w:t>国有企业产融创新与风险防范</w:t>
            </w:r>
          </w:p>
          <w:p>
            <w:pPr>
              <w:pStyle w:val="6"/>
              <w:spacing w:before="249" w:line="198" w:lineRule="auto"/>
              <w:jc w:val="right"/>
            </w:pPr>
            <w:r>
              <w:rPr>
                <w:spacing w:val="9"/>
              </w:rPr>
              <w:t>数字化时代的领导者的战略思维与管理创新</w:t>
            </w:r>
          </w:p>
          <w:p>
            <w:pPr>
              <w:pStyle w:val="6"/>
              <w:spacing w:before="251" w:line="576" w:lineRule="exact"/>
              <w:ind w:left="158"/>
            </w:pPr>
            <w:r>
              <w:rPr>
                <w:spacing w:val="8"/>
                <w:position w:val="25"/>
              </w:rPr>
              <w:t>中小企业创新发展与发展瓶颈的突破</w:t>
            </w:r>
          </w:p>
          <w:p>
            <w:pPr>
              <w:pStyle w:val="6"/>
              <w:spacing w:before="2" w:line="198" w:lineRule="auto"/>
              <w:ind w:left="143"/>
            </w:pPr>
            <w:r>
              <w:rPr>
                <w:spacing w:val="9"/>
              </w:rPr>
              <w:t>组织管理哲学与现代企业家思维</w:t>
            </w:r>
          </w:p>
          <w:p>
            <w:pPr>
              <w:pStyle w:val="6"/>
              <w:spacing w:before="249" w:line="199" w:lineRule="auto"/>
              <w:ind w:left="143"/>
            </w:pPr>
            <w:r>
              <w:rPr>
                <w:spacing w:val="8"/>
              </w:rPr>
              <w:t>职业生涯发展规划与创新创业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7" w:hRule="atLeast"/>
        </w:trPr>
        <w:tc>
          <w:tcPr>
            <w:tcW w:w="1186" w:type="dxa"/>
            <w:vAlign w:val="top"/>
          </w:tcPr>
          <w:p>
            <w:pPr>
              <w:pStyle w:val="6"/>
              <w:spacing w:before="162"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96" w:type="dxa"/>
            <w:vAlign w:val="top"/>
          </w:tcPr>
          <w:p>
            <w:pPr>
              <w:spacing w:before="193" w:line="191" w:lineRule="auto"/>
              <w:ind w:left="24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3"/>
                <w:sz w:val="23"/>
                <w:szCs w:val="23"/>
              </w:rPr>
              <w:t>2.00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2.02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2.05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2.06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2.07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2.08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2.09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2.10</w:t>
            </w:r>
          </w:p>
        </w:tc>
        <w:tc>
          <w:tcPr>
            <w:tcW w:w="4687" w:type="dxa"/>
            <w:vAlign w:val="top"/>
          </w:tcPr>
          <w:p>
            <w:pPr>
              <w:pStyle w:val="6"/>
              <w:spacing w:before="160" w:line="199" w:lineRule="auto"/>
              <w:ind w:left="142"/>
            </w:pPr>
            <w:r>
              <w:rPr>
                <w:b/>
                <w:bCs/>
                <w:spacing w:val="6"/>
              </w:rPr>
              <w:t>转型升级</w:t>
            </w:r>
          </w:p>
          <w:p>
            <w:pPr>
              <w:pStyle w:val="6"/>
              <w:spacing w:before="250" w:line="198" w:lineRule="auto"/>
              <w:ind w:left="159"/>
            </w:pPr>
            <w:r>
              <w:rPr>
                <w:spacing w:val="8"/>
              </w:rPr>
              <w:t>民营企业在开放发展中所面临的机遇</w:t>
            </w:r>
          </w:p>
          <w:p>
            <w:pPr>
              <w:pStyle w:val="6"/>
              <w:spacing w:before="249" w:line="577" w:lineRule="exact"/>
              <w:ind w:left="159"/>
            </w:pPr>
            <w:r>
              <w:rPr>
                <w:spacing w:val="8"/>
                <w:position w:val="25"/>
              </w:rPr>
              <w:t>民营企业加快改革发展与转型升级探讨</w:t>
            </w:r>
          </w:p>
          <w:p>
            <w:pPr>
              <w:pStyle w:val="6"/>
              <w:spacing w:line="198" w:lineRule="auto"/>
              <w:ind w:left="159"/>
            </w:pPr>
            <w:r>
              <w:rPr>
                <w:spacing w:val="7"/>
              </w:rPr>
              <w:t>民营企业转型与赢利模式创新</w:t>
            </w:r>
          </w:p>
          <w:p>
            <w:pPr>
              <w:pStyle w:val="6"/>
              <w:spacing w:before="250" w:line="199" w:lineRule="auto"/>
              <w:ind w:left="159"/>
            </w:pPr>
            <w:r>
              <w:rPr>
                <w:spacing w:val="7"/>
              </w:rPr>
              <w:t>民营企业家能力提升及改善</w:t>
            </w:r>
          </w:p>
          <w:p>
            <w:pPr>
              <w:pStyle w:val="6"/>
              <w:spacing w:before="248" w:line="199" w:lineRule="auto"/>
              <w:ind w:left="139"/>
            </w:pPr>
            <w:r>
              <w:rPr>
                <w:spacing w:val="9"/>
              </w:rPr>
              <w:t>企业转型升级与赢利模式突破</w:t>
            </w:r>
            <w:r>
              <w:rPr>
                <w:rFonts w:ascii="Times New Roman" w:hAnsi="Times New Roman" w:eastAsia="Times New Roman" w:cs="Times New Roman"/>
                <w:spacing w:val="9"/>
              </w:rPr>
              <w:t>/</w:t>
            </w:r>
            <w:r>
              <w:rPr>
                <w:spacing w:val="9"/>
              </w:rPr>
              <w:t>创新</w:t>
            </w:r>
          </w:p>
          <w:p>
            <w:pPr>
              <w:pStyle w:val="6"/>
              <w:spacing w:before="249" w:line="199" w:lineRule="auto"/>
              <w:ind w:left="139"/>
            </w:pPr>
            <w:r>
              <w:rPr>
                <w:spacing w:val="9"/>
              </w:rPr>
              <w:t>企业转型升级与顶层设计</w:t>
            </w:r>
          </w:p>
          <w:p>
            <w:pPr>
              <w:pStyle w:val="6"/>
              <w:spacing w:before="251" w:line="199" w:lineRule="auto"/>
              <w:ind w:left="142"/>
            </w:pPr>
            <w:r>
              <w:rPr>
                <w:spacing w:val="8"/>
              </w:rPr>
              <w:t>制造企业转型创新战略</w:t>
            </w:r>
          </w:p>
          <w:p>
            <w:pPr>
              <w:pStyle w:val="6"/>
              <w:spacing w:before="248" w:line="576" w:lineRule="exact"/>
              <w:ind w:left="147"/>
            </w:pPr>
            <w:r>
              <w:rPr>
                <w:spacing w:val="8"/>
                <w:position w:val="25"/>
              </w:rPr>
              <w:t>互联网与传统企业转型升级</w:t>
            </w:r>
          </w:p>
          <w:p>
            <w:pPr>
              <w:pStyle w:val="6"/>
              <w:spacing w:before="1" w:line="199" w:lineRule="auto"/>
              <w:ind w:left="139"/>
            </w:pPr>
            <w:r>
              <w:rPr>
                <w:spacing w:val="8"/>
              </w:rPr>
              <w:t>企业转型升级与借鉴</w:t>
            </w:r>
          </w:p>
          <w:p>
            <w:pPr>
              <w:pStyle w:val="6"/>
              <w:spacing w:before="248" w:line="243" w:lineRule="exact"/>
              <w:ind w:left="158"/>
            </w:pPr>
            <w:r>
              <w:rPr>
                <w:spacing w:val="7"/>
                <w:position w:val="-1"/>
              </w:rPr>
              <w:t>中小企业如何突破发展瓶颈</w:t>
            </w:r>
          </w:p>
        </w:tc>
      </w:tr>
    </w:tbl>
    <w:p>
      <w:pPr>
        <w:spacing w:line="241" w:lineRule="exact"/>
        <w:rPr>
          <w:rFonts w:ascii="Arial"/>
          <w:sz w:val="20"/>
        </w:rPr>
      </w:pPr>
    </w:p>
    <w:p>
      <w:pPr>
        <w:spacing w:line="241" w:lineRule="exact"/>
        <w:rPr>
          <w:rFonts w:ascii="Arial" w:hAnsi="Arial" w:eastAsia="Arial" w:cs="Arial"/>
          <w:sz w:val="20"/>
          <w:szCs w:val="20"/>
        </w:rPr>
        <w:sectPr>
          <w:footerReference r:id="rId5" w:type="default"/>
          <w:pgSz w:w="11909" w:h="16841"/>
          <w:pgMar w:top="400" w:right="16" w:bottom="1395" w:left="1772" w:header="0" w:footer="1191" w:gutter="0"/>
          <w:cols w:space="720" w:num="1"/>
        </w:sectPr>
      </w:pPr>
    </w:p>
    <w:p>
      <w:pPr>
        <w:pStyle w:val="2"/>
        <w:spacing w:line="1887" w:lineRule="exact"/>
        <w:ind w:firstLine="4631"/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1125220</wp:posOffset>
                </wp:positionH>
                <wp:positionV relativeFrom="page">
                  <wp:posOffset>717550</wp:posOffset>
                </wp:positionV>
                <wp:extent cx="5316220" cy="9525"/>
                <wp:effectExtent l="0" t="0" r="0" b="0"/>
                <wp:wrapNone/>
                <wp:docPr id="14" name="Rec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5321" y="718057"/>
                          <a:ext cx="531622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14" o:spid="_x0000_s1026" o:spt="1" style="position:absolute;left:0pt;margin-left:88.6pt;margin-top:56.5pt;height:0.75pt;width:418.6pt;mso-position-horizontal-relative:page;mso-position-vertical-relative:page;z-index:-251657216;mso-width-relative:page;mso-height-relative:page;" fillcolor="#000000" filled="t" stroked="f" coordsize="21600,21600" o:allowincell="f" o:gfxdata="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X7DMj2AAAAAwBAAAPAAAAAAAAAAEAIAAAACIAAABkcnMvZG93bnJldi54bWxQSwEC&#10;FAAUAAAACACHTuJAIo7AUS0CAABtBAAADgAAAAAAAAABACAAAAAnAQAAZHJzL2Uyb0RvYy54bWxQ&#10;SwUGAAAAAAYABgBZAQAAxgUAAAAA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</w:p>
    <w:p>
      <w:pPr>
        <w:spacing w:line="162" w:lineRule="exact"/>
      </w:pPr>
    </w:p>
    <w:tbl>
      <w:tblPr>
        <w:tblStyle w:val="7"/>
        <w:tblW w:w="5949" w:type="dxa"/>
        <w:tblInd w:w="33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6"/>
        <w:gridCol w:w="796"/>
        <w:gridCol w:w="3967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9" w:hRule="atLeast"/>
        </w:trPr>
        <w:tc>
          <w:tcPr>
            <w:tcW w:w="1186" w:type="dxa"/>
            <w:vAlign w:val="top"/>
          </w:tcPr>
          <w:p>
            <w:pPr>
              <w:pStyle w:val="6"/>
              <w:spacing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96" w:type="dxa"/>
            <w:vAlign w:val="top"/>
          </w:tcPr>
          <w:p>
            <w:pPr>
              <w:spacing w:before="32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3"/>
                <w:sz w:val="23"/>
                <w:szCs w:val="23"/>
              </w:rPr>
              <w:t>3.00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3.01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3.02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3.03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3.04</w:t>
            </w:r>
          </w:p>
        </w:tc>
        <w:tc>
          <w:tcPr>
            <w:tcW w:w="3967" w:type="dxa"/>
            <w:vAlign w:val="top"/>
          </w:tcPr>
          <w:p>
            <w:pPr>
              <w:pStyle w:val="6"/>
              <w:spacing w:line="199" w:lineRule="auto"/>
              <w:ind w:left="143"/>
            </w:pPr>
            <w:r>
              <w:rPr>
                <w:b/>
                <w:bCs/>
                <w:spacing w:val="6"/>
              </w:rPr>
              <w:t>公司治理</w:t>
            </w:r>
          </w:p>
          <w:p>
            <w:pPr>
              <w:pStyle w:val="6"/>
              <w:spacing w:before="249" w:line="199" w:lineRule="auto"/>
              <w:ind w:left="141"/>
            </w:pPr>
            <w:r>
              <w:rPr>
                <w:spacing w:val="9"/>
              </w:rPr>
              <w:t>公司治理与组织变革管理</w:t>
            </w:r>
          </w:p>
          <w:p>
            <w:pPr>
              <w:pStyle w:val="6"/>
              <w:spacing w:before="249" w:line="198" w:lineRule="auto"/>
              <w:ind w:left="159"/>
            </w:pPr>
            <w:r>
              <w:rPr>
                <w:spacing w:val="7"/>
              </w:rPr>
              <w:t>民营企业的治理与持续成长</w:t>
            </w:r>
          </w:p>
          <w:p>
            <w:pPr>
              <w:pStyle w:val="6"/>
              <w:spacing w:before="250" w:line="199" w:lineRule="auto"/>
              <w:ind w:left="141"/>
            </w:pPr>
            <w:r>
              <w:rPr>
                <w:spacing w:val="8"/>
              </w:rPr>
              <w:t>现代企业制度及治理结构解读</w:t>
            </w:r>
          </w:p>
          <w:p>
            <w:pPr>
              <w:pStyle w:val="6"/>
              <w:spacing w:before="249" w:line="199" w:lineRule="auto"/>
              <w:ind w:left="141"/>
            </w:pPr>
            <w:r>
              <w:rPr>
                <w:spacing w:val="9"/>
              </w:rPr>
              <w:t>现代企业制度建设以及规范化运营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6" w:hRule="atLeast"/>
        </w:trPr>
        <w:tc>
          <w:tcPr>
            <w:tcW w:w="1186" w:type="dxa"/>
            <w:vAlign w:val="top"/>
          </w:tcPr>
          <w:p>
            <w:pPr>
              <w:pStyle w:val="6"/>
              <w:spacing w:before="163"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96" w:type="dxa"/>
            <w:vAlign w:val="top"/>
          </w:tcPr>
          <w:p>
            <w:pPr>
              <w:spacing w:before="194" w:line="191" w:lineRule="auto"/>
              <w:ind w:left="24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3"/>
                <w:sz w:val="23"/>
                <w:szCs w:val="23"/>
              </w:rPr>
              <w:t>4.00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4.02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4.03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4.05</w:t>
            </w:r>
          </w:p>
        </w:tc>
        <w:tc>
          <w:tcPr>
            <w:tcW w:w="3967" w:type="dxa"/>
            <w:vAlign w:val="top"/>
          </w:tcPr>
          <w:p>
            <w:pPr>
              <w:pStyle w:val="6"/>
              <w:spacing w:before="161" w:line="199" w:lineRule="auto"/>
              <w:ind w:left="147"/>
            </w:pPr>
            <w:r>
              <w:rPr>
                <w:b/>
                <w:bCs/>
                <w:spacing w:val="5"/>
              </w:rPr>
              <w:t>商业模式</w:t>
            </w:r>
          </w:p>
          <w:p>
            <w:pPr>
              <w:pStyle w:val="6"/>
              <w:spacing w:before="250" w:line="350" w:lineRule="auto"/>
              <w:ind w:left="139"/>
              <w:jc w:val="both"/>
            </w:pPr>
            <w:r>
              <w:rPr>
                <w:spacing w:val="9"/>
              </w:rPr>
              <w:t>数字化时代下的商业模式设计与创新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企业商业模式创新与核心竞争力打造</w:t>
            </w:r>
          </w:p>
          <w:p>
            <w:pPr>
              <w:pStyle w:val="6"/>
              <w:spacing w:before="1" w:line="198" w:lineRule="auto"/>
              <w:ind w:left="143"/>
            </w:pPr>
            <w:r>
              <w:rPr>
                <w:spacing w:val="8"/>
              </w:rPr>
              <w:t>商业模式创新与公司价值管理</w:t>
            </w:r>
          </w:p>
          <w:p>
            <w:pPr>
              <w:pStyle w:val="6"/>
              <w:spacing w:before="249" w:line="199" w:lineRule="auto"/>
              <w:ind w:left="143"/>
            </w:pPr>
            <w:r>
              <w:rPr>
                <w:spacing w:val="9"/>
              </w:rPr>
              <w:t>商业模式创新与企业投融资管理</w:t>
            </w:r>
          </w:p>
          <w:p>
            <w:pPr>
              <w:pStyle w:val="6"/>
              <w:spacing w:before="249" w:line="243" w:lineRule="exact"/>
              <w:jc w:val="right"/>
            </w:pPr>
            <w:r>
              <w:rPr>
                <w:spacing w:val="8"/>
                <w:position w:val="-1"/>
              </w:rPr>
              <w:t>商业模式升级与企业新三板挂牌实务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9" w:h="16841"/>
          <w:pgMar w:top="5" w:right="16" w:bottom="1395" w:left="1772" w:header="0" w:footer="1191" w:gutter="0"/>
          <w:cols w:space="720" w:num="1"/>
        </w:sectPr>
      </w:pPr>
    </w:p>
    <w:p>
      <w:pPr>
        <w:pStyle w:val="2"/>
        <w:spacing w:line="1887" w:lineRule="exact"/>
        <w:ind w:firstLine="4631"/>
      </w:pPr>
      <w:r>
        <mc:AlternateContent>
          <mc:Choice Requires="wps">
            <w:drawing>
              <wp:anchor distT="0" distB="0" distL="0" distR="0" simplePos="0" relativeHeight="251660288" behindDoc="1" locked="0" layoutInCell="0" allowOverlap="1">
                <wp:simplePos x="0" y="0"/>
                <wp:positionH relativeFrom="page">
                  <wp:posOffset>1125220</wp:posOffset>
                </wp:positionH>
                <wp:positionV relativeFrom="page">
                  <wp:posOffset>717550</wp:posOffset>
                </wp:positionV>
                <wp:extent cx="5316220" cy="9525"/>
                <wp:effectExtent l="0" t="0" r="0" b="0"/>
                <wp:wrapNone/>
                <wp:docPr id="16" name="Rec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5321" y="718057"/>
                          <a:ext cx="531622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16" o:spid="_x0000_s1026" o:spt="1" style="position:absolute;left:0pt;margin-left:88.6pt;margin-top:56.5pt;height:0.75pt;width:418.6pt;mso-position-horizontal-relative:page;mso-position-vertical-relative:page;z-index:-251656192;mso-width-relative:page;mso-height-relative:page;" fillcolor="#000000" filled="t" stroked="f" coordsize="21600,21600" o:allowincell="f" o:gfxdata="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fsMyPYAAAADAEAAA8AAAAAAAAAAQAgAAAAIgAAAGRycy9kb3ducmV2LnhtbFBLAQIU&#10;ABQAAAAIAIdO4kAFKDGVLAIAAG0EAAAOAAAAAAAAAAEAIAAAACcBAABkcnMvZTJvRG9jLnhtbFBL&#10;BQYAAAAABgAGAFkBAADFBQAAAAA=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</w:p>
    <w:p>
      <w:pPr>
        <w:spacing w:line="111" w:lineRule="exact"/>
      </w:pPr>
    </w:p>
    <w:p>
      <w:pPr>
        <w:spacing w:line="111" w:lineRule="exact"/>
        <w:sectPr>
          <w:footerReference r:id="rId7" w:type="default"/>
          <w:pgSz w:w="11909" w:h="16841"/>
          <w:pgMar w:top="5" w:right="16" w:bottom="1395" w:left="1772" w:header="0" w:footer="1191" w:gutter="0"/>
          <w:cols w:equalWidth="0" w:num="1">
            <w:col w:w="10120"/>
          </w:cols>
        </w:sectPr>
      </w:pPr>
    </w:p>
    <w:p>
      <w:pPr>
        <w:pStyle w:val="2"/>
        <w:spacing w:before="51" w:line="198" w:lineRule="auto"/>
        <w:ind w:left="335"/>
        <w:rPr>
          <w:sz w:val="23"/>
          <w:szCs w:val="23"/>
        </w:rPr>
      </w:pPr>
      <w:r>
        <w:rPr>
          <w:b/>
          <w:bCs/>
          <w:spacing w:val="6"/>
          <w:sz w:val="23"/>
          <w:szCs w:val="23"/>
        </w:rPr>
        <w:t>课程模块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1" w:line="191" w:lineRule="auto"/>
        <w:ind w:left="241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b/>
          <w:bCs/>
          <w:spacing w:val="2"/>
          <w:sz w:val="23"/>
          <w:szCs w:val="23"/>
        </w:rPr>
        <w:t>5.00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5.01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6" w:line="191" w:lineRule="auto"/>
        <w:ind w:left="2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5.02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6" w:line="191" w:lineRule="auto"/>
        <w:ind w:left="2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5.03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6" w:line="191" w:lineRule="auto"/>
        <w:ind w:left="2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5.04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5.05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5.06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5.07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5.08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6" w:line="191" w:lineRule="auto"/>
        <w:ind w:left="2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5.09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5.10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52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1"/>
          <w:sz w:val="23"/>
          <w:szCs w:val="23"/>
        </w:rPr>
        <w:t>5.11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5.12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6" w:line="191" w:lineRule="auto"/>
        <w:ind w:left="2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5.13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9" w:line="199" w:lineRule="auto"/>
        <w:ind w:left="150"/>
        <w:rPr>
          <w:sz w:val="23"/>
          <w:szCs w:val="23"/>
        </w:rPr>
      </w:pPr>
      <w:r>
        <w:rPr>
          <w:b/>
          <w:bCs/>
          <w:spacing w:val="4"/>
          <w:sz w:val="23"/>
          <w:szCs w:val="23"/>
        </w:rPr>
        <w:t>战略管理</w:t>
      </w:r>
    </w:p>
    <w:p>
      <w:pPr>
        <w:pStyle w:val="2"/>
        <w:spacing w:before="248" w:line="576" w:lineRule="exact"/>
        <w:ind w:left="139"/>
        <w:rPr>
          <w:sz w:val="23"/>
          <w:szCs w:val="23"/>
        </w:rPr>
      </w:pPr>
      <w:r>
        <w:rPr>
          <w:spacing w:val="9"/>
          <w:position w:val="25"/>
          <w:sz w:val="23"/>
          <w:szCs w:val="23"/>
        </w:rPr>
        <w:t>企业创新发展的战略构建与执行路径</w:t>
      </w:r>
    </w:p>
    <w:p>
      <w:pPr>
        <w:pStyle w:val="2"/>
        <w:spacing w:before="1" w:line="198" w:lineRule="auto"/>
        <w:ind w:left="139"/>
        <w:rPr>
          <w:sz w:val="23"/>
          <w:szCs w:val="23"/>
        </w:rPr>
      </w:pPr>
      <w:r>
        <w:rPr>
          <w:spacing w:val="9"/>
          <w:sz w:val="23"/>
          <w:szCs w:val="23"/>
        </w:rPr>
        <w:t>企业转型升级战略与核心竞争力打造</w:t>
      </w:r>
    </w:p>
    <w:p>
      <w:pPr>
        <w:pStyle w:val="2"/>
        <w:spacing w:before="250" w:line="198" w:lineRule="auto"/>
        <w:ind w:left="150"/>
        <w:rPr>
          <w:sz w:val="23"/>
          <w:szCs w:val="23"/>
        </w:rPr>
      </w:pPr>
      <w:r>
        <w:rPr>
          <w:spacing w:val="8"/>
          <w:sz w:val="23"/>
          <w:szCs w:val="23"/>
        </w:rPr>
        <w:t>以竞争力提升为导向的战略管理</w:t>
      </w:r>
    </w:p>
    <w:p>
      <w:pPr>
        <w:pStyle w:val="2"/>
        <w:spacing w:before="249" w:line="200" w:lineRule="auto"/>
        <w:ind w:left="150"/>
        <w:rPr>
          <w:sz w:val="23"/>
          <w:szCs w:val="23"/>
        </w:rPr>
      </w:pPr>
      <w:r>
        <w:rPr>
          <w:spacing w:val="7"/>
          <w:sz w:val="23"/>
          <w:szCs w:val="23"/>
        </w:rPr>
        <w:t>战略管理与竞争优势</w:t>
      </w:r>
    </w:p>
    <w:p>
      <w:pPr>
        <w:pStyle w:val="2"/>
        <w:spacing w:before="249" w:line="576" w:lineRule="exact"/>
        <w:ind w:left="150"/>
        <w:rPr>
          <w:sz w:val="23"/>
          <w:szCs w:val="23"/>
        </w:rPr>
      </w:pPr>
      <w:r>
        <w:rPr>
          <w:spacing w:val="8"/>
          <w:position w:val="25"/>
          <w:sz w:val="23"/>
          <w:szCs w:val="23"/>
        </w:rPr>
        <w:t>以价值为导向的战略管理</w:t>
      </w:r>
    </w:p>
    <w:p>
      <w:pPr>
        <w:pStyle w:val="2"/>
        <w:spacing w:before="1" w:line="197" w:lineRule="auto"/>
        <w:ind w:left="140"/>
        <w:rPr>
          <w:sz w:val="23"/>
          <w:szCs w:val="23"/>
        </w:rPr>
      </w:pPr>
      <w:r>
        <w:rPr>
          <w:spacing w:val="8"/>
          <w:sz w:val="23"/>
          <w:szCs w:val="23"/>
        </w:rPr>
        <w:t>数字化时代的战略管理</w:t>
      </w:r>
    </w:p>
    <w:p>
      <w:pPr>
        <w:pStyle w:val="2"/>
        <w:spacing w:before="251" w:line="576" w:lineRule="exact"/>
        <w:ind w:left="139"/>
        <w:rPr>
          <w:sz w:val="23"/>
          <w:szCs w:val="23"/>
        </w:rPr>
      </w:pPr>
      <w:r>
        <w:rPr>
          <w:spacing w:val="9"/>
          <w:position w:val="25"/>
          <w:sz w:val="23"/>
          <w:szCs w:val="23"/>
        </w:rPr>
        <w:t>企业转型战略与定位分析</w:t>
      </w:r>
    </w:p>
    <w:p>
      <w:pPr>
        <w:pStyle w:val="2"/>
        <w:spacing w:before="1" w:line="199" w:lineRule="auto"/>
        <w:ind w:left="139"/>
        <w:rPr>
          <w:sz w:val="23"/>
          <w:szCs w:val="23"/>
        </w:rPr>
      </w:pPr>
      <w:r>
        <w:rPr>
          <w:spacing w:val="8"/>
          <w:sz w:val="23"/>
          <w:szCs w:val="23"/>
        </w:rPr>
        <w:t>企业战略与转型升级</w:t>
      </w:r>
    </w:p>
    <w:p>
      <w:pPr>
        <w:pStyle w:val="2"/>
        <w:spacing w:before="249" w:line="576" w:lineRule="exact"/>
        <w:ind w:left="150"/>
        <w:rPr>
          <w:sz w:val="23"/>
          <w:szCs w:val="23"/>
        </w:rPr>
      </w:pPr>
      <w:r>
        <w:rPr>
          <w:spacing w:val="7"/>
          <w:position w:val="25"/>
          <w:sz w:val="23"/>
          <w:szCs w:val="23"/>
        </w:rPr>
        <w:t>战略构建与执行路径</w:t>
      </w:r>
    </w:p>
    <w:p>
      <w:pPr>
        <w:pStyle w:val="2"/>
        <w:spacing w:before="1" w:line="199" w:lineRule="auto"/>
        <w:ind w:left="150"/>
        <w:rPr>
          <w:sz w:val="23"/>
          <w:szCs w:val="23"/>
        </w:rPr>
      </w:pPr>
      <w:r>
        <w:rPr>
          <w:spacing w:val="7"/>
          <w:sz w:val="23"/>
          <w:szCs w:val="23"/>
        </w:rPr>
        <w:t>战略理解与执行</w:t>
      </w:r>
    </w:p>
    <w:p>
      <w:pPr>
        <w:pStyle w:val="2"/>
        <w:spacing w:before="248" w:line="199" w:lineRule="auto"/>
        <w:ind w:left="150"/>
        <w:rPr>
          <w:sz w:val="23"/>
          <w:szCs w:val="23"/>
        </w:rPr>
      </w:pPr>
      <w:r>
        <w:rPr>
          <w:spacing w:val="6"/>
          <w:sz w:val="23"/>
          <w:szCs w:val="23"/>
        </w:rPr>
        <w:t>战略并购与整合</w:t>
      </w:r>
    </w:p>
    <w:p>
      <w:pPr>
        <w:pStyle w:val="2"/>
        <w:spacing w:before="249" w:line="199" w:lineRule="auto"/>
        <w:ind w:left="150"/>
        <w:rPr>
          <w:sz w:val="23"/>
          <w:szCs w:val="23"/>
        </w:rPr>
      </w:pPr>
      <w:r>
        <w:rPr>
          <w:spacing w:val="7"/>
          <w:sz w:val="23"/>
          <w:szCs w:val="23"/>
        </w:rPr>
        <w:t>战略规划与投融资管理</w:t>
      </w:r>
    </w:p>
    <w:p>
      <w:pPr>
        <w:pStyle w:val="2"/>
        <w:spacing w:before="249" w:line="253" w:lineRule="exact"/>
        <w:ind w:left="150"/>
        <w:rPr>
          <w:sz w:val="23"/>
          <w:szCs w:val="23"/>
        </w:rPr>
      </w:pPr>
      <w:r>
        <w:rPr>
          <w:spacing w:val="8"/>
          <w:position w:val="-1"/>
          <w:sz w:val="23"/>
          <w:szCs w:val="23"/>
        </w:rPr>
        <w:t>战略规划与投资风险控制</w:t>
      </w:r>
    </w:p>
    <w:p>
      <w:pPr>
        <w:spacing w:line="253" w:lineRule="exact"/>
        <w:rPr>
          <w:sz w:val="23"/>
          <w:szCs w:val="23"/>
        </w:rPr>
        <w:sectPr>
          <w:type w:val="continuous"/>
          <w:pgSz w:w="11909" w:h="16841"/>
          <w:pgMar w:top="5" w:right="16" w:bottom="1395" w:left="1772" w:header="0" w:footer="1191" w:gutter="0"/>
          <w:cols w:equalWidth="0" w:num="3">
            <w:col w:w="1524" w:space="0"/>
            <w:col w:w="795" w:space="0"/>
            <w:col w:w="7802"/>
          </w:cols>
        </w:sectPr>
      </w:pPr>
    </w:p>
    <w:p>
      <w:pPr>
        <w:pStyle w:val="2"/>
        <w:spacing w:line="1887" w:lineRule="exact"/>
        <w:ind w:firstLine="4631"/>
      </w:pPr>
      <w:r>
        <mc:AlternateContent>
          <mc:Choice Requires="wps">
            <w:drawing>
              <wp:anchor distT="0" distB="0" distL="0" distR="0" simplePos="0" relativeHeight="251661312" behindDoc="1" locked="0" layoutInCell="0" allowOverlap="1">
                <wp:simplePos x="0" y="0"/>
                <wp:positionH relativeFrom="page">
                  <wp:posOffset>1125220</wp:posOffset>
                </wp:positionH>
                <wp:positionV relativeFrom="page">
                  <wp:posOffset>717550</wp:posOffset>
                </wp:positionV>
                <wp:extent cx="5316220" cy="9525"/>
                <wp:effectExtent l="0" t="0" r="0" b="0"/>
                <wp:wrapNone/>
                <wp:docPr id="18" name="Rec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5321" y="718057"/>
                          <a:ext cx="531622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18" o:spid="_x0000_s1026" o:spt="1" style="position:absolute;left:0pt;margin-left:88.6pt;margin-top:56.5pt;height:0.75pt;width:418.6pt;mso-position-horizontal-relative:page;mso-position-vertical-relative:page;z-index:-251655168;mso-width-relative:page;mso-height-relative:page;" fillcolor="#000000" filled="t" stroked="f" coordsize="21600,21600" o:allowincell="f" o:gfxdata="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fsMyPYAAAADAEAAA8AAAAAAAAAAQAgAAAAIgAAAGRycy9kb3ducmV2LnhtbFBLAQIU&#10;ABQAAAAIAIdO4kAzUHamLAIAAG0EAAAOAAAAAAAAAAEAIAAAACcBAABkcnMvZTJvRG9jLnhtbFBL&#10;BQYAAAAABgAGAFkBAADFBQAAAAA=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</w:p>
    <w:p>
      <w:pPr>
        <w:spacing w:line="162" w:lineRule="exact"/>
      </w:pPr>
    </w:p>
    <w:tbl>
      <w:tblPr>
        <w:tblStyle w:val="7"/>
        <w:tblW w:w="6431" w:type="dxa"/>
        <w:tblInd w:w="33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8"/>
        <w:gridCol w:w="794"/>
        <w:gridCol w:w="4449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9" w:hRule="atLeast"/>
        </w:trPr>
        <w:tc>
          <w:tcPr>
            <w:tcW w:w="1188" w:type="dxa"/>
            <w:vAlign w:val="top"/>
          </w:tcPr>
          <w:p>
            <w:pPr>
              <w:pStyle w:val="6"/>
              <w:spacing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94" w:type="dxa"/>
            <w:vAlign w:val="top"/>
          </w:tcPr>
          <w:p>
            <w:pPr>
              <w:spacing w:before="32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3"/>
                <w:szCs w:val="23"/>
              </w:rPr>
              <w:t>6.00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6.02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6.06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6.07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6.08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6.09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6.10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5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6.11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6.12</w:t>
            </w:r>
          </w:p>
        </w:tc>
        <w:tc>
          <w:tcPr>
            <w:tcW w:w="4449" w:type="dxa"/>
            <w:vAlign w:val="top"/>
          </w:tcPr>
          <w:p>
            <w:pPr>
              <w:pStyle w:val="6"/>
              <w:spacing w:line="199" w:lineRule="auto"/>
              <w:ind w:left="142"/>
            </w:pPr>
            <w:r>
              <w:rPr>
                <w:b/>
                <w:bCs/>
                <w:spacing w:val="6"/>
              </w:rPr>
              <w:t>资本运作</w:t>
            </w:r>
          </w:p>
          <w:p>
            <w:pPr>
              <w:pStyle w:val="6"/>
              <w:spacing w:before="248" w:line="199" w:lineRule="auto"/>
              <w:ind w:left="142"/>
            </w:pPr>
            <w:r>
              <w:rPr>
                <w:spacing w:val="8"/>
              </w:rPr>
              <w:t>新商机与资本运作之路</w:t>
            </w:r>
          </w:p>
          <w:p>
            <w:pPr>
              <w:pStyle w:val="6"/>
              <w:spacing w:before="248" w:line="577" w:lineRule="exact"/>
              <w:ind w:left="147"/>
            </w:pPr>
            <w:r>
              <w:rPr>
                <w:spacing w:val="8"/>
                <w:position w:val="25"/>
              </w:rPr>
              <w:t>互联网</w:t>
            </w:r>
            <w:r>
              <w:rPr>
                <w:rFonts w:ascii="Times New Roman" w:hAnsi="Times New Roman" w:eastAsia="Times New Roman" w:cs="Times New Roman"/>
                <w:spacing w:val="8"/>
                <w:position w:val="25"/>
              </w:rPr>
              <w:t>+</w:t>
            </w:r>
            <w:r>
              <w:rPr>
                <w:spacing w:val="8"/>
                <w:position w:val="25"/>
              </w:rPr>
              <w:t>时代的资本运作</w:t>
            </w:r>
          </w:p>
          <w:p>
            <w:pPr>
              <w:pStyle w:val="6"/>
              <w:spacing w:line="199" w:lineRule="auto"/>
              <w:ind w:left="141"/>
            </w:pPr>
            <w:r>
              <w:rPr>
                <w:spacing w:val="8"/>
              </w:rPr>
              <w:t>转型升级与资本运作</w:t>
            </w:r>
          </w:p>
          <w:p>
            <w:pPr>
              <w:pStyle w:val="6"/>
              <w:spacing w:before="249" w:line="198" w:lineRule="auto"/>
              <w:ind w:left="150"/>
            </w:pPr>
            <w:r>
              <w:rPr>
                <w:spacing w:val="8"/>
              </w:rPr>
              <w:t>以战略为导向的资本运营</w:t>
            </w:r>
          </w:p>
          <w:p>
            <w:pPr>
              <w:pStyle w:val="6"/>
              <w:spacing w:before="250" w:line="576" w:lineRule="exact"/>
              <w:ind w:left="141"/>
            </w:pPr>
            <w:r>
              <w:rPr>
                <w:spacing w:val="8"/>
                <w:position w:val="25"/>
              </w:rPr>
              <w:t>公司战略与资本运营顶层设计</w:t>
            </w:r>
          </w:p>
          <w:p>
            <w:pPr>
              <w:pStyle w:val="6"/>
              <w:spacing w:line="199" w:lineRule="auto"/>
              <w:ind w:left="142"/>
            </w:pPr>
            <w:r>
              <w:rPr>
                <w:spacing w:val="8"/>
              </w:rPr>
              <w:t>资本运营的增值管理</w:t>
            </w:r>
          </w:p>
          <w:p>
            <w:pPr>
              <w:pStyle w:val="6"/>
              <w:spacing w:before="249" w:line="199" w:lineRule="auto"/>
              <w:ind w:left="139"/>
            </w:pPr>
            <w:r>
              <w:rPr>
                <w:spacing w:val="8"/>
              </w:rPr>
              <w:t>企业的资本运作与转型</w:t>
            </w:r>
            <w:r>
              <w:rPr>
                <w:rFonts w:ascii="Times New Roman" w:hAnsi="Times New Roman" w:eastAsia="Times New Roman" w:cs="Times New Roman"/>
                <w:spacing w:val="8"/>
              </w:rPr>
              <w:t>-</w:t>
            </w:r>
            <w:r>
              <w:rPr>
                <w:spacing w:val="8"/>
              </w:rPr>
              <w:t>存量资产整合</w:t>
            </w:r>
          </w:p>
          <w:p>
            <w:pPr>
              <w:pStyle w:val="6"/>
              <w:spacing w:before="248" w:line="199" w:lineRule="auto"/>
              <w:ind w:left="141"/>
            </w:pPr>
            <w:r>
              <w:rPr>
                <w:spacing w:val="8"/>
              </w:rPr>
              <w:t>双创资本运作与赢利模式创新</w:t>
            </w:r>
          </w:p>
          <w:p>
            <w:pPr>
              <w:pStyle w:val="6"/>
              <w:spacing w:before="249" w:line="199" w:lineRule="auto"/>
              <w:ind w:left="143"/>
            </w:pPr>
            <w:r>
              <w:rPr>
                <w:spacing w:val="8"/>
              </w:rPr>
              <w:t>服务业资本运营与赢利模式</w:t>
            </w:r>
          </w:p>
          <w:p>
            <w:pPr>
              <w:pStyle w:val="6"/>
              <w:spacing w:before="249" w:line="199" w:lineRule="auto"/>
              <w:ind w:left="140"/>
            </w:pPr>
            <w:r>
              <w:rPr>
                <w:spacing w:val="9"/>
              </w:rPr>
              <w:t>房地产资本运作实操与案例分析</w:t>
            </w:r>
          </w:p>
          <w:p>
            <w:pPr>
              <w:pStyle w:val="6"/>
              <w:spacing w:before="250" w:line="576" w:lineRule="exact"/>
              <w:jc w:val="right"/>
            </w:pPr>
            <w:r>
              <w:rPr>
                <w:spacing w:val="9"/>
                <w:position w:val="25"/>
              </w:rPr>
              <w:t>大湾区交通行业宏观经济分析与资本运作</w:t>
            </w:r>
          </w:p>
          <w:p>
            <w:pPr>
              <w:pStyle w:val="6"/>
              <w:spacing w:line="199" w:lineRule="auto"/>
              <w:ind w:left="156"/>
            </w:pPr>
            <w:r>
              <w:rPr>
                <w:spacing w:val="7"/>
              </w:rPr>
              <w:t>国有企业的资本运作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5" w:hRule="atLeast"/>
        </w:trPr>
        <w:tc>
          <w:tcPr>
            <w:tcW w:w="1188" w:type="dxa"/>
            <w:vAlign w:val="top"/>
          </w:tcPr>
          <w:p>
            <w:pPr>
              <w:pStyle w:val="6"/>
              <w:spacing w:before="163"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94" w:type="dxa"/>
            <w:vAlign w:val="top"/>
          </w:tcPr>
          <w:p>
            <w:pPr>
              <w:spacing w:before="194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3"/>
                <w:szCs w:val="23"/>
              </w:rPr>
              <w:t>7.00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7.02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7.05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7.06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7.07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7.08</w:t>
            </w:r>
          </w:p>
        </w:tc>
        <w:tc>
          <w:tcPr>
            <w:tcW w:w="4449" w:type="dxa"/>
            <w:vAlign w:val="top"/>
          </w:tcPr>
          <w:p>
            <w:pPr>
              <w:pStyle w:val="6"/>
              <w:spacing w:before="162" w:line="199" w:lineRule="auto"/>
              <w:ind w:left="142"/>
            </w:pPr>
            <w:r>
              <w:rPr>
                <w:b/>
                <w:bCs/>
                <w:spacing w:val="6"/>
              </w:rPr>
              <w:t>资本市场</w:t>
            </w:r>
          </w:p>
          <w:p>
            <w:pPr>
              <w:pStyle w:val="6"/>
              <w:spacing w:before="248" w:line="576" w:lineRule="exact"/>
              <w:ind w:left="139"/>
            </w:pPr>
            <w:r>
              <w:rPr>
                <w:spacing w:val="9"/>
                <w:position w:val="25"/>
              </w:rPr>
              <w:t>企业改革如何对接资本市场</w:t>
            </w:r>
          </w:p>
          <w:p>
            <w:pPr>
              <w:pStyle w:val="6"/>
              <w:spacing w:line="198" w:lineRule="auto"/>
              <w:ind w:left="139"/>
            </w:pPr>
            <w:r>
              <w:rPr>
                <w:spacing w:val="8"/>
              </w:rPr>
              <w:t>企业上市政策与实务</w:t>
            </w:r>
          </w:p>
          <w:p>
            <w:pPr>
              <w:pStyle w:val="6"/>
              <w:spacing w:before="249" w:line="199" w:lineRule="auto"/>
              <w:ind w:left="139"/>
            </w:pPr>
            <w:r>
              <w:rPr>
                <w:spacing w:val="8"/>
              </w:rPr>
              <w:t>企业培育上市工作实务</w:t>
            </w:r>
          </w:p>
          <w:p>
            <w:pPr>
              <w:pStyle w:val="6"/>
              <w:spacing w:before="250" w:line="576" w:lineRule="exact"/>
              <w:ind w:left="145"/>
            </w:pPr>
            <w:r>
              <w:rPr>
                <w:spacing w:val="9"/>
                <w:position w:val="25"/>
              </w:rPr>
              <w:t>多层次资本市场与企业上市方略</w:t>
            </w:r>
          </w:p>
          <w:p>
            <w:pPr>
              <w:pStyle w:val="6"/>
              <w:spacing w:before="1" w:line="198" w:lineRule="auto"/>
              <w:ind w:left="145"/>
            </w:pPr>
            <w:r>
              <w:rPr>
                <w:spacing w:val="8"/>
              </w:rPr>
              <w:t>多层次资本市场与企业融资</w:t>
            </w:r>
          </w:p>
          <w:p>
            <w:pPr>
              <w:pStyle w:val="6"/>
              <w:spacing w:before="250" w:line="199" w:lineRule="auto"/>
              <w:ind w:left="141"/>
            </w:pPr>
            <w:r>
              <w:rPr>
                <w:spacing w:val="9"/>
              </w:rPr>
              <w:t>股权激励与改制上市流程</w:t>
            </w:r>
          </w:p>
          <w:p>
            <w:pPr>
              <w:pStyle w:val="6"/>
              <w:spacing w:before="249" w:line="569" w:lineRule="exact"/>
              <w:ind w:left="141"/>
            </w:pPr>
            <w:r>
              <w:rPr>
                <w:spacing w:val="8"/>
                <w:position w:val="25"/>
              </w:rPr>
              <w:t>股权投资与市值管理</w:t>
            </w:r>
          </w:p>
          <w:p>
            <w:pPr>
              <w:pStyle w:val="6"/>
              <w:spacing w:line="250" w:lineRule="exact"/>
              <w:ind w:left="156"/>
            </w:pPr>
            <w:r>
              <w:rPr>
                <w:spacing w:val="7"/>
                <w:position w:val="-1"/>
              </w:rPr>
              <w:t>国有企业市值管理</w:t>
            </w:r>
          </w:p>
        </w:tc>
      </w:tr>
    </w:tbl>
    <w:p>
      <w:pPr>
        <w:rPr>
          <w:rFonts w:ascii="Arial"/>
          <w:sz w:val="21"/>
        </w:rPr>
      </w:pPr>
    </w:p>
    <w:p>
      <w:pPr>
        <w:pStyle w:val="2"/>
        <w:spacing w:line="1887" w:lineRule="exact"/>
        <w:ind w:firstLine="4631"/>
      </w:pPr>
      <w:r>
        <mc:AlternateContent>
          <mc:Choice Requires="wps">
            <w:drawing>
              <wp:anchor distT="0" distB="0" distL="0" distR="0" simplePos="0" relativeHeight="251662336" behindDoc="1" locked="0" layoutInCell="0" allowOverlap="1">
                <wp:simplePos x="0" y="0"/>
                <wp:positionH relativeFrom="page">
                  <wp:posOffset>1125220</wp:posOffset>
                </wp:positionH>
                <wp:positionV relativeFrom="page">
                  <wp:posOffset>717550</wp:posOffset>
                </wp:positionV>
                <wp:extent cx="5316220" cy="9525"/>
                <wp:effectExtent l="0" t="0" r="0" b="0"/>
                <wp:wrapNone/>
                <wp:docPr id="20" name="Rec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5321" y="718057"/>
                          <a:ext cx="531622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20" o:spid="_x0000_s1026" o:spt="1" style="position:absolute;left:0pt;margin-left:88.6pt;margin-top:56.5pt;height:0.75pt;width:418.6pt;mso-position-horizontal-relative:page;mso-position-vertical-relative:page;z-index:-251654144;mso-width-relative:page;mso-height-relative:page;" fillcolor="#000000" filled="t" stroked="f" coordsize="21600,21600" o:allowincell="f" o:gfxdata="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fsMyPYAAAADAEAAA8AAAAAAAAAAQAgAAAAIgAAAGRycy9kb3ducmV2LnhtbFBLAQIU&#10;ABQAAAAIAIdO4kCmIcMZLAIAAG0EAAAOAAAAAAAAAAEAIAAAACcBAABkcnMvZTJvRG9jLnhtbFBL&#10;BQYAAAAABgAGAFkBAADFBQAAAAA=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</w:p>
    <w:p>
      <w:pPr>
        <w:spacing w:line="162" w:lineRule="exact"/>
      </w:pPr>
    </w:p>
    <w:tbl>
      <w:tblPr>
        <w:tblStyle w:val="7"/>
        <w:tblW w:w="7873" w:type="dxa"/>
        <w:tblInd w:w="33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8"/>
        <w:gridCol w:w="795"/>
        <w:gridCol w:w="589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6" w:hRule="atLeast"/>
        </w:trPr>
        <w:tc>
          <w:tcPr>
            <w:tcW w:w="1188" w:type="dxa"/>
            <w:vAlign w:val="top"/>
          </w:tcPr>
          <w:p>
            <w:pPr>
              <w:pStyle w:val="6"/>
              <w:spacing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95" w:type="dxa"/>
            <w:vAlign w:val="top"/>
          </w:tcPr>
          <w:p>
            <w:pPr>
              <w:spacing w:before="32" w:line="191" w:lineRule="auto"/>
              <w:ind w:left="2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3"/>
                <w:szCs w:val="23"/>
              </w:rPr>
              <w:t>8.00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8.01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8.02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8.03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8.04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8.05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8.06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8.07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8.08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8.09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8.10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5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3"/>
                <w:szCs w:val="23"/>
              </w:rPr>
              <w:t>8.11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8.12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8.13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8.14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8.15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8.16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8" w:line="191" w:lineRule="auto"/>
              <w:ind w:left="24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8.17</w:t>
            </w:r>
          </w:p>
        </w:tc>
        <w:tc>
          <w:tcPr>
            <w:tcW w:w="5890" w:type="dxa"/>
            <w:vAlign w:val="top"/>
          </w:tcPr>
          <w:p>
            <w:pPr>
              <w:pStyle w:val="6"/>
              <w:spacing w:line="199" w:lineRule="auto"/>
              <w:ind w:left="141"/>
            </w:pPr>
            <w:r>
              <w:rPr>
                <w:b/>
                <w:bCs/>
                <w:spacing w:val="8"/>
              </w:rPr>
              <w:t>投融资管理</w:t>
            </w:r>
          </w:p>
          <w:p>
            <w:pPr>
              <w:pStyle w:val="6"/>
              <w:spacing w:before="248" w:line="576" w:lineRule="exact"/>
              <w:ind w:left="138"/>
            </w:pPr>
            <w:r>
              <w:rPr>
                <w:spacing w:val="9"/>
                <w:position w:val="25"/>
              </w:rPr>
              <w:t>企业家财务思维与投融资决策</w:t>
            </w:r>
          </w:p>
          <w:p>
            <w:pPr>
              <w:pStyle w:val="6"/>
              <w:spacing w:line="199" w:lineRule="auto"/>
              <w:ind w:left="148"/>
            </w:pPr>
            <w:r>
              <w:rPr>
                <w:spacing w:val="7"/>
              </w:rPr>
              <w:t>融资策略与融资创新</w:t>
            </w:r>
          </w:p>
          <w:p>
            <w:pPr>
              <w:pStyle w:val="6"/>
              <w:spacing w:before="249" w:line="199" w:lineRule="auto"/>
              <w:ind w:left="140"/>
            </w:pPr>
            <w:r>
              <w:rPr>
                <w:spacing w:val="8"/>
              </w:rPr>
              <w:t>产业投融资创新</w:t>
            </w:r>
          </w:p>
          <w:p>
            <w:pPr>
              <w:pStyle w:val="6"/>
              <w:spacing w:before="249" w:line="199" w:lineRule="auto"/>
              <w:ind w:left="155"/>
            </w:pPr>
            <w:r>
              <w:rPr>
                <w:spacing w:val="7"/>
              </w:rPr>
              <w:t>国有企业产融创新与风险防控</w:t>
            </w:r>
          </w:p>
          <w:p>
            <w:pPr>
              <w:pStyle w:val="6"/>
              <w:spacing w:before="248" w:line="199" w:lineRule="auto"/>
              <w:ind w:left="155"/>
            </w:pPr>
            <w:r>
              <w:rPr>
                <w:spacing w:val="8"/>
              </w:rPr>
              <w:t>国有企业投融资管理与资本运作</w:t>
            </w:r>
          </w:p>
          <w:p>
            <w:pPr>
              <w:pStyle w:val="6"/>
              <w:spacing w:before="249" w:line="199" w:lineRule="auto"/>
              <w:ind w:left="157"/>
            </w:pPr>
            <w:r>
              <w:rPr>
                <w:spacing w:val="7"/>
              </w:rPr>
              <w:t>中小企业投融资渠道建设</w:t>
            </w:r>
          </w:p>
          <w:p>
            <w:pPr>
              <w:pStyle w:val="6"/>
              <w:spacing w:before="249" w:line="576" w:lineRule="exact"/>
              <w:ind w:left="157"/>
            </w:pPr>
            <w:r>
              <w:rPr>
                <w:spacing w:val="7"/>
                <w:position w:val="25"/>
              </w:rPr>
              <w:t>中小企业融资技巧与风险规避</w:t>
            </w:r>
          </w:p>
          <w:p>
            <w:pPr>
              <w:pStyle w:val="6"/>
              <w:spacing w:line="199" w:lineRule="auto"/>
              <w:ind w:left="157"/>
            </w:pPr>
            <w:r>
              <w:rPr>
                <w:spacing w:val="7"/>
              </w:rPr>
              <w:t>中小企业发展与金融工具创新</w:t>
            </w:r>
          </w:p>
          <w:p>
            <w:pPr>
              <w:pStyle w:val="6"/>
              <w:spacing w:before="249" w:line="199" w:lineRule="auto"/>
              <w:ind w:left="141"/>
            </w:pPr>
            <w:r>
              <w:rPr>
                <w:spacing w:val="8"/>
              </w:rPr>
              <w:t>创业者的融资管理</w:t>
            </w:r>
          </w:p>
          <w:p>
            <w:pPr>
              <w:pStyle w:val="6"/>
              <w:spacing w:before="249" w:line="577" w:lineRule="exact"/>
              <w:ind w:left="142"/>
            </w:pPr>
            <w:r>
              <w:rPr>
                <w:spacing w:val="9"/>
                <w:position w:val="25"/>
              </w:rPr>
              <w:t>文化创意产业投融资与项目策划</w:t>
            </w:r>
          </w:p>
          <w:p>
            <w:pPr>
              <w:pStyle w:val="6"/>
              <w:spacing w:before="1" w:line="198" w:lineRule="auto"/>
              <w:ind w:left="148"/>
            </w:pPr>
            <w:r>
              <w:rPr>
                <w:spacing w:val="8"/>
              </w:rPr>
              <w:t>融资租赁产业发展前景展望</w:t>
            </w:r>
          </w:p>
          <w:p>
            <w:pPr>
              <w:pStyle w:val="6"/>
              <w:spacing w:before="248" w:line="199" w:lineRule="auto"/>
              <w:ind w:left="140"/>
            </w:pPr>
            <w:r>
              <w:rPr>
                <w:spacing w:val="8"/>
              </w:rPr>
              <w:t>私募股权投资实务</w:t>
            </w:r>
          </w:p>
          <w:p>
            <w:pPr>
              <w:pStyle w:val="6"/>
              <w:spacing w:before="250" w:line="199" w:lineRule="auto"/>
              <w:ind w:left="140"/>
            </w:pPr>
            <w:r>
              <w:rPr>
                <w:spacing w:val="8"/>
              </w:rPr>
              <w:t>股权投资操作流程及风险防控</w:t>
            </w:r>
          </w:p>
          <w:p>
            <w:pPr>
              <w:pStyle w:val="6"/>
              <w:spacing w:before="249" w:line="198" w:lineRule="auto"/>
              <w:ind w:left="141"/>
            </w:pPr>
            <w:r>
              <w:rPr>
                <w:spacing w:val="9"/>
              </w:rPr>
              <w:t>建设工程的项目融资与风险管理</w:t>
            </w:r>
          </w:p>
          <w:p>
            <w:pPr>
              <w:pStyle w:val="6"/>
              <w:spacing w:before="251" w:line="198" w:lineRule="auto"/>
              <w:ind w:left="139"/>
            </w:pPr>
            <w:r>
              <w:rPr>
                <w:spacing w:val="9"/>
              </w:rPr>
              <w:t>城市更新中的转型升级与项目融资</w:t>
            </w:r>
          </w:p>
          <w:p>
            <w:pPr>
              <w:pStyle w:val="6"/>
              <w:spacing w:before="250" w:line="577" w:lineRule="exact"/>
              <w:ind w:right="2"/>
              <w:jc w:val="right"/>
            </w:pPr>
            <w:r>
              <w:rPr>
                <w:spacing w:val="9"/>
                <w:position w:val="25"/>
              </w:rPr>
              <w:t>数字化下的银行业务创新与中小企业融资业务解决方案</w:t>
            </w:r>
          </w:p>
          <w:p>
            <w:pPr>
              <w:pStyle w:val="6"/>
              <w:spacing w:before="1" w:line="197" w:lineRule="auto"/>
              <w:jc w:val="right"/>
            </w:pPr>
            <w:r>
              <w:rPr>
                <w:spacing w:val="9"/>
              </w:rPr>
              <w:t>数字化背景下的银行对公产品创新与对公业务风险管理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4" w:hRule="atLeast"/>
        </w:trPr>
        <w:tc>
          <w:tcPr>
            <w:tcW w:w="1188" w:type="dxa"/>
            <w:vAlign w:val="top"/>
          </w:tcPr>
          <w:p>
            <w:pPr>
              <w:pStyle w:val="6"/>
              <w:spacing w:before="166"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95" w:type="dxa"/>
            <w:vAlign w:val="top"/>
          </w:tcPr>
          <w:p>
            <w:pPr>
              <w:spacing w:before="198" w:line="191" w:lineRule="auto"/>
              <w:ind w:left="24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3"/>
                <w:szCs w:val="23"/>
              </w:rPr>
              <w:t>9.00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9.01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9.02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4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9.03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4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9.04</w:t>
            </w:r>
          </w:p>
        </w:tc>
        <w:tc>
          <w:tcPr>
            <w:tcW w:w="5890" w:type="dxa"/>
            <w:vAlign w:val="top"/>
          </w:tcPr>
          <w:p>
            <w:pPr>
              <w:pStyle w:val="6"/>
              <w:spacing w:before="157" w:line="205" w:lineRule="auto"/>
              <w:ind w:left="142"/>
            </w:pPr>
            <w:r>
              <w:rPr>
                <w:b/>
                <w:bCs/>
                <w:spacing w:val="6"/>
              </w:rPr>
              <w:t>并购重组</w:t>
            </w:r>
          </w:p>
          <w:p>
            <w:pPr>
              <w:pStyle w:val="6"/>
              <w:spacing w:before="248" w:line="576" w:lineRule="exact"/>
              <w:ind w:left="141"/>
            </w:pPr>
            <w:r>
              <w:rPr>
                <w:spacing w:val="9"/>
                <w:position w:val="25"/>
              </w:rPr>
              <w:t>投资银行：并购与重组实务</w:t>
            </w:r>
          </w:p>
          <w:p>
            <w:pPr>
              <w:pStyle w:val="6"/>
              <w:spacing w:line="199" w:lineRule="auto"/>
              <w:ind w:left="155"/>
            </w:pPr>
            <w:r>
              <w:rPr>
                <w:spacing w:val="7"/>
              </w:rPr>
              <w:t>国企并购投资与风险管理</w:t>
            </w:r>
          </w:p>
          <w:p>
            <w:pPr>
              <w:pStyle w:val="6"/>
              <w:spacing w:before="243" w:line="202" w:lineRule="auto"/>
              <w:ind w:left="138"/>
            </w:pPr>
            <w:r>
              <w:rPr>
                <w:spacing w:val="9"/>
              </w:rPr>
              <w:t>企业兼并重组操作实务</w:t>
            </w:r>
          </w:p>
          <w:p>
            <w:pPr>
              <w:pStyle w:val="6"/>
              <w:spacing w:before="249" w:line="243" w:lineRule="exact"/>
              <w:ind w:left="148"/>
            </w:pPr>
            <w:r>
              <w:rPr>
                <w:spacing w:val="8"/>
                <w:position w:val="-1"/>
              </w:rPr>
              <w:t>融资并购与不良资产处置</w:t>
            </w:r>
          </w:p>
        </w:tc>
      </w:tr>
    </w:tbl>
    <w:p>
      <w:pPr>
        <w:pStyle w:val="2"/>
        <w:spacing w:line="1887" w:lineRule="exact"/>
      </w:pPr>
      <w:r>
        <mc:AlternateContent>
          <mc:Choice Requires="wps">
            <w:drawing>
              <wp:anchor distT="0" distB="0" distL="0" distR="0" simplePos="0" relativeHeight="251663360" behindDoc="1" locked="0" layoutInCell="0" allowOverlap="1">
                <wp:simplePos x="0" y="0"/>
                <wp:positionH relativeFrom="page">
                  <wp:posOffset>1125220</wp:posOffset>
                </wp:positionH>
                <wp:positionV relativeFrom="page">
                  <wp:posOffset>717550</wp:posOffset>
                </wp:positionV>
                <wp:extent cx="5316220" cy="9525"/>
                <wp:effectExtent l="0" t="0" r="0" b="0"/>
                <wp:wrapNone/>
                <wp:docPr id="22" name="Rec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5321" y="718057"/>
                          <a:ext cx="531622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22" o:spid="_x0000_s1026" o:spt="1" style="position:absolute;left:0pt;margin-left:88.6pt;margin-top:56.5pt;height:0.75pt;width:418.6pt;mso-position-horizontal-relative:page;mso-position-vertical-relative:page;z-index:-251653120;mso-width-relative:page;mso-height-relative:page;" fillcolor="#000000" filled="t" stroked="f" coordsize="21600,21600" o:allowincell="f" o:gfxdata="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X7DMj2AAAAAwBAAAPAAAAAAAAAAEAIAAAACIAAABkcnMvZG93bnJldi54bWxQSwEC&#10;FAAUAAAACACHTuJAgYcy3S0CAABtBAAADgAAAAAAAAABACAAAAAnAQAAZHJzL2Uyb0RvYy54bWxQ&#10;SwUGAAAAAAYABgBZAQAAxgUAAAAA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</w:p>
    <w:p>
      <w:pPr>
        <w:spacing w:line="162" w:lineRule="exact"/>
      </w:pPr>
    </w:p>
    <w:tbl>
      <w:tblPr>
        <w:tblStyle w:val="7"/>
        <w:tblW w:w="7151" w:type="dxa"/>
        <w:tblInd w:w="33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852"/>
        <w:gridCol w:w="5136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4" w:hRule="atLeast"/>
        </w:trPr>
        <w:tc>
          <w:tcPr>
            <w:tcW w:w="1163" w:type="dxa"/>
            <w:vAlign w:val="top"/>
          </w:tcPr>
          <w:p>
            <w:pPr>
              <w:pStyle w:val="6"/>
              <w:spacing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852" w:type="dxa"/>
            <w:vAlign w:val="top"/>
          </w:tcPr>
          <w:p>
            <w:pPr>
              <w:spacing w:before="32" w:line="191" w:lineRule="auto"/>
              <w:ind w:left="21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3"/>
                <w:szCs w:val="23"/>
              </w:rPr>
              <w:t>10.00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3"/>
                <w:szCs w:val="23"/>
              </w:rPr>
              <w:t>10.01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3"/>
                <w:szCs w:val="23"/>
              </w:rPr>
              <w:t>10.02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3"/>
                <w:szCs w:val="23"/>
              </w:rPr>
              <w:t>10.03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3"/>
                <w:szCs w:val="23"/>
              </w:rPr>
              <w:t>10.04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3"/>
                <w:szCs w:val="23"/>
              </w:rPr>
              <w:t>10.05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3"/>
                <w:szCs w:val="23"/>
              </w:rPr>
              <w:t>10.06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3"/>
                <w:szCs w:val="23"/>
              </w:rPr>
              <w:t>10.07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3"/>
                <w:szCs w:val="23"/>
              </w:rPr>
              <w:t>10.08</w:t>
            </w:r>
          </w:p>
        </w:tc>
        <w:tc>
          <w:tcPr>
            <w:tcW w:w="5136" w:type="dxa"/>
            <w:vAlign w:val="top"/>
          </w:tcPr>
          <w:p>
            <w:pPr>
              <w:pStyle w:val="6"/>
              <w:spacing w:before="1" w:line="197" w:lineRule="auto"/>
              <w:ind w:left="111"/>
            </w:pPr>
            <w:r>
              <w:rPr>
                <w:b/>
                <w:bCs/>
                <w:spacing w:val="6"/>
              </w:rPr>
              <w:t>专题融合</w:t>
            </w:r>
          </w:p>
          <w:p>
            <w:pPr>
              <w:pStyle w:val="6"/>
              <w:spacing w:before="250" w:line="199" w:lineRule="auto"/>
              <w:ind w:left="109"/>
            </w:pPr>
            <w:r>
              <w:rPr>
                <w:spacing w:val="9"/>
              </w:rPr>
              <w:t>资本运作的赢利模式与中小企业的投融资管理</w:t>
            </w:r>
          </w:p>
          <w:p>
            <w:pPr>
              <w:pStyle w:val="6"/>
              <w:spacing w:before="249" w:line="577" w:lineRule="exact"/>
              <w:ind w:left="123"/>
            </w:pPr>
            <w:r>
              <w:rPr>
                <w:spacing w:val="8"/>
                <w:position w:val="25"/>
              </w:rPr>
              <w:t>国有企业资本运营与投融资管理</w:t>
            </w:r>
          </w:p>
          <w:p>
            <w:pPr>
              <w:pStyle w:val="6"/>
              <w:spacing w:before="1" w:line="198" w:lineRule="auto"/>
              <w:ind w:left="109"/>
            </w:pPr>
            <w:r>
              <w:rPr>
                <w:spacing w:val="9"/>
              </w:rPr>
              <w:t>资本运作与科技企业投融资管理</w:t>
            </w:r>
          </w:p>
          <w:p>
            <w:pPr>
              <w:pStyle w:val="6"/>
              <w:spacing w:before="249" w:line="199" w:lineRule="auto"/>
              <w:ind w:left="109"/>
            </w:pPr>
            <w:r>
              <w:rPr>
                <w:spacing w:val="8"/>
              </w:rPr>
              <w:t>资本运作与市值管理</w:t>
            </w:r>
          </w:p>
          <w:p>
            <w:pPr>
              <w:pStyle w:val="6"/>
              <w:spacing w:before="249" w:line="199" w:lineRule="auto"/>
              <w:ind w:left="106"/>
            </w:pPr>
            <w:r>
              <w:rPr>
                <w:spacing w:val="8"/>
              </w:rPr>
              <w:t>企业投融资与并购重组</w:t>
            </w:r>
          </w:p>
          <w:p>
            <w:pPr>
              <w:pStyle w:val="6"/>
              <w:spacing w:before="248" w:line="199" w:lineRule="auto"/>
              <w:ind w:left="106"/>
            </w:pPr>
            <w:r>
              <w:rPr>
                <w:spacing w:val="9"/>
              </w:rPr>
              <w:t>企业投融资实务与商业模式创新</w:t>
            </w:r>
          </w:p>
          <w:p>
            <w:pPr>
              <w:pStyle w:val="6"/>
              <w:spacing w:before="249" w:line="576" w:lineRule="exact"/>
              <w:ind w:left="106"/>
            </w:pPr>
            <w:r>
              <w:rPr>
                <w:spacing w:val="9"/>
                <w:position w:val="25"/>
              </w:rPr>
              <w:t>企业股权设计、资本运作与风险管理</w:t>
            </w:r>
          </w:p>
          <w:p>
            <w:pPr>
              <w:pStyle w:val="6"/>
              <w:spacing w:before="1" w:line="199" w:lineRule="auto"/>
              <w:ind w:left="110"/>
            </w:pPr>
            <w:r>
              <w:rPr>
                <w:spacing w:val="7"/>
              </w:rPr>
              <w:t>财富增值管理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8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63"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852" w:type="dxa"/>
            <w:vAlign w:val="top"/>
          </w:tcPr>
          <w:p>
            <w:pPr>
              <w:spacing w:before="194" w:line="191" w:lineRule="auto"/>
              <w:ind w:left="22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23"/>
                <w:szCs w:val="23"/>
              </w:rPr>
              <w:t>11.00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3"/>
                <w:szCs w:val="23"/>
              </w:rPr>
              <w:t>11.01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3"/>
                <w:szCs w:val="23"/>
              </w:rPr>
              <w:t>11.02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3"/>
                <w:szCs w:val="23"/>
              </w:rPr>
              <w:t>11.03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3"/>
                <w:szCs w:val="23"/>
              </w:rPr>
              <w:t>11.04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3"/>
                <w:szCs w:val="23"/>
              </w:rPr>
              <w:t>11.05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8" w:line="191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3"/>
                <w:szCs w:val="23"/>
              </w:rPr>
              <w:t>11.06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0" w:lineRule="auto"/>
              <w:ind w:left="22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3"/>
                <w:szCs w:val="23"/>
              </w:rPr>
              <w:t>11.07</w:t>
            </w:r>
          </w:p>
        </w:tc>
        <w:tc>
          <w:tcPr>
            <w:tcW w:w="5136" w:type="dxa"/>
            <w:vAlign w:val="top"/>
          </w:tcPr>
          <w:p>
            <w:pPr>
              <w:pStyle w:val="6"/>
              <w:spacing w:before="162" w:line="199" w:lineRule="auto"/>
              <w:ind w:left="109"/>
            </w:pPr>
            <w:r>
              <w:rPr>
                <w:b/>
                <w:bCs/>
                <w:spacing w:val="6"/>
              </w:rPr>
              <w:t>项目管理</w:t>
            </w:r>
          </w:p>
          <w:p>
            <w:pPr>
              <w:pStyle w:val="6"/>
              <w:spacing w:before="249" w:line="576" w:lineRule="exact"/>
              <w:ind w:left="107"/>
            </w:pPr>
            <w:r>
              <w:rPr>
                <w:spacing w:val="9"/>
                <w:position w:val="25"/>
              </w:rPr>
              <w:t>项目投融资分析决策与运作管理</w:t>
            </w:r>
          </w:p>
          <w:p>
            <w:pPr>
              <w:pStyle w:val="6"/>
              <w:spacing w:line="198" w:lineRule="auto"/>
              <w:ind w:left="109"/>
            </w:pPr>
            <w:r>
              <w:rPr>
                <w:spacing w:val="9"/>
              </w:rPr>
              <w:t>投资项目经济评估系统解决方案</w:t>
            </w:r>
          </w:p>
          <w:p>
            <w:pPr>
              <w:pStyle w:val="6"/>
              <w:spacing w:before="250" w:line="198" w:lineRule="auto"/>
              <w:ind w:left="107"/>
            </w:pPr>
            <w:r>
              <w:rPr>
                <w:spacing w:val="9"/>
              </w:rPr>
              <w:t>项目投资的财务及估值技能</w:t>
            </w:r>
          </w:p>
          <w:p>
            <w:pPr>
              <w:pStyle w:val="6"/>
              <w:spacing w:before="251" w:line="198" w:lineRule="auto"/>
              <w:ind w:left="109"/>
            </w:pPr>
            <w:r>
              <w:rPr>
                <w:spacing w:val="8"/>
              </w:rPr>
              <w:t>投资项目经济评估</w:t>
            </w:r>
          </w:p>
          <w:p>
            <w:pPr>
              <w:pStyle w:val="6"/>
              <w:spacing w:before="250" w:line="198" w:lineRule="auto"/>
              <w:ind w:left="107"/>
            </w:pPr>
            <w:r>
              <w:rPr>
                <w:spacing w:val="9"/>
              </w:rPr>
              <w:t>项目投后增值服务</w:t>
            </w:r>
          </w:p>
          <w:p>
            <w:pPr>
              <w:pStyle w:val="6"/>
              <w:spacing w:before="250" w:line="198" w:lineRule="auto"/>
              <w:ind w:left="109"/>
            </w:pPr>
            <w:r>
              <w:rPr>
                <w:spacing w:val="8"/>
              </w:rPr>
              <w:t>投资项目的监控</w:t>
            </w:r>
            <w:r>
              <w:rPr>
                <w:rFonts w:ascii="Times New Roman" w:hAnsi="Times New Roman" w:eastAsia="Times New Roman" w:cs="Times New Roman"/>
                <w:spacing w:val="8"/>
              </w:rPr>
              <w:t>/</w:t>
            </w:r>
            <w:r>
              <w:rPr>
                <w:spacing w:val="8"/>
              </w:rPr>
              <w:t>风控</w:t>
            </w:r>
          </w:p>
          <w:p>
            <w:pPr>
              <w:pStyle w:val="6"/>
              <w:spacing w:before="250" w:line="242" w:lineRule="exact"/>
              <w:jc w:val="right"/>
            </w:pPr>
            <w:r>
              <w:rPr>
                <w:spacing w:val="9"/>
                <w:position w:val="-1"/>
              </w:rPr>
              <w:t>投资者应具备的财务及估值技能、投后增值服务</w:t>
            </w:r>
          </w:p>
        </w:tc>
      </w:tr>
    </w:tbl>
    <w:p/>
    <w:sectPr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027"/>
      <w:rPr>
        <w:rFonts w:ascii="Calibri" w:hAnsi="Calibri" w:eastAsia="Calibri" w:cs="Calibri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027"/>
      <w:rPr>
        <w:rFonts w:ascii="Calibri" w:hAnsi="Calibri" w:eastAsia="Calibri" w:cs="Calibri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025"/>
      <w:rPr>
        <w:rFonts w:ascii="Calibri" w:hAnsi="Calibri" w:eastAsia="Calibri" w:cs="Calibri"/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rPr>
        <w:rFonts w:ascii="Calibri" w:hAnsi="Calibri" w:eastAsia="Calibri" w:cs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249B1765"/>
    <w:rsid w:val="249B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6"/>
      <w:szCs w:val="36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2023-12-27T01:30:00Z</dcterms:created>
  <dc:creator>蓉儿</dc:creator>
  <cp:lastModifiedBy>蓉儿</cp:lastModifiedBy>
  <dcterms:modified xsi:type="dcterms:W3CDTF">2023-12-27T01:31:33Z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1F82F7C7CE224266A84046C2B3725943_11</vt:lpwstr>
  </property>
</Properties>
</file>