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0"/>
      </w:pPr>
      <w:bookmarkStart w:id="0" w:name="_GoBack"/>
      <w:bookmarkEnd w:id="0"/>
    </w:p>
    <w:tbl>
      <w:tblPr>
        <w:tblStyle w:val="7"/>
        <w:tblW w:w="8000" w:type="dxa"/>
        <w:tblInd w:w="335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79"/>
        <w:gridCol w:w="779"/>
        <w:gridCol w:w="6042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19" w:hRule="atLeast"/>
        </w:trPr>
        <w:tc>
          <w:tcPr>
            <w:tcW w:w="1179" w:type="dxa"/>
            <w:vAlign w:val="top"/>
          </w:tcPr>
          <w:p>
            <w:pPr>
              <w:pStyle w:val="6"/>
              <w:spacing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79" w:type="dxa"/>
            <w:vAlign w:val="top"/>
          </w:tcPr>
          <w:p>
            <w:pPr>
              <w:spacing w:before="32" w:line="191" w:lineRule="auto"/>
              <w:ind w:left="24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z w:val="23"/>
                <w:szCs w:val="23"/>
              </w:rPr>
              <w:t>1.00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5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1.01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5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1.02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5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1.05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56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-3"/>
                <w:sz w:val="23"/>
                <w:szCs w:val="23"/>
              </w:rPr>
              <w:t>1.06</w:t>
            </w:r>
          </w:p>
        </w:tc>
        <w:tc>
          <w:tcPr>
            <w:tcW w:w="6042" w:type="dxa"/>
            <w:vAlign w:val="top"/>
          </w:tcPr>
          <w:p>
            <w:pPr>
              <w:pStyle w:val="6"/>
              <w:spacing w:line="199" w:lineRule="auto"/>
              <w:ind w:left="135"/>
            </w:pPr>
            <w:r>
              <w:rPr>
                <w:b/>
                <w:bCs/>
                <w:spacing w:val="5"/>
              </w:rPr>
              <w:t>改革政策</w:t>
            </w:r>
          </w:p>
          <w:p>
            <w:pPr>
              <w:pStyle w:val="6"/>
              <w:spacing w:before="248" w:line="199" w:lineRule="auto"/>
              <w:ind w:left="144"/>
            </w:pPr>
            <w:r>
              <w:rPr>
                <w:spacing w:val="8"/>
              </w:rPr>
              <w:t>国企国资改革政策解读及最新形势分析</w:t>
            </w:r>
          </w:p>
          <w:p>
            <w:pPr>
              <w:pStyle w:val="6"/>
              <w:spacing w:before="249" w:line="571" w:lineRule="exact"/>
              <w:ind w:left="144"/>
            </w:pPr>
            <w:r>
              <w:rPr>
                <w:spacing w:val="8"/>
                <w:position w:val="25"/>
              </w:rPr>
              <w:t>国有企业改革三年行动方案解读</w:t>
            </w:r>
          </w:p>
          <w:p>
            <w:pPr>
              <w:pStyle w:val="6"/>
              <w:spacing w:line="202" w:lineRule="auto"/>
              <w:ind w:left="146"/>
            </w:pPr>
            <w:r>
              <w:rPr>
                <w:spacing w:val="7"/>
              </w:rPr>
              <w:t>中国特色现代企业制度建设</w:t>
            </w:r>
          </w:p>
          <w:p>
            <w:pPr>
              <w:pStyle w:val="6"/>
              <w:spacing w:before="249" w:line="199" w:lineRule="auto"/>
              <w:ind w:left="130"/>
            </w:pPr>
            <w:r>
              <w:rPr>
                <w:spacing w:val="9"/>
              </w:rPr>
              <w:t>新形势下的国企治理结构改革及监管模式创新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7" w:hRule="atLeast"/>
        </w:trPr>
        <w:tc>
          <w:tcPr>
            <w:tcW w:w="1179" w:type="dxa"/>
            <w:vAlign w:val="top"/>
          </w:tcPr>
          <w:p>
            <w:pPr>
              <w:pStyle w:val="6"/>
              <w:spacing w:before="162" w:line="198" w:lineRule="auto"/>
            </w:pPr>
            <w:r>
              <w:rPr>
                <w:b/>
                <w:bCs/>
                <w:spacing w:val="6"/>
              </w:rPr>
              <w:t>课程模块</w:t>
            </w:r>
          </w:p>
        </w:tc>
        <w:tc>
          <w:tcPr>
            <w:tcW w:w="779" w:type="dxa"/>
            <w:vAlign w:val="top"/>
          </w:tcPr>
          <w:p>
            <w:pPr>
              <w:spacing w:before="194" w:line="191" w:lineRule="auto"/>
              <w:ind w:left="234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b/>
                <w:bCs/>
                <w:spacing w:val="3"/>
                <w:sz w:val="23"/>
                <w:szCs w:val="23"/>
              </w:rPr>
              <w:t>2.00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2.01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2.02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2.03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2.04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7" w:line="191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2.05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2.06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2.07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8" w:line="191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2.08</w:t>
            </w:r>
          </w:p>
          <w:p>
            <w:pPr>
              <w:spacing w:line="297" w:lineRule="auto"/>
              <w:rPr>
                <w:rFonts w:ascii="Arial"/>
                <w:sz w:val="21"/>
              </w:rPr>
            </w:pPr>
          </w:p>
          <w:p>
            <w:pPr>
              <w:spacing w:before="66" w:line="191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2.09</w:t>
            </w:r>
          </w:p>
          <w:p>
            <w:pPr>
              <w:spacing w:line="298" w:lineRule="auto"/>
              <w:rPr>
                <w:rFonts w:ascii="Arial"/>
                <w:sz w:val="21"/>
              </w:rPr>
            </w:pPr>
          </w:p>
          <w:p>
            <w:pPr>
              <w:spacing w:before="67" w:line="190" w:lineRule="auto"/>
              <w:ind w:left="233"/>
              <w:rPr>
                <w:rFonts w:ascii="Times New Roman" w:hAnsi="Times New Roman" w:eastAsia="Times New Roman" w:cs="Times New Roman"/>
                <w:sz w:val="23"/>
                <w:szCs w:val="23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23"/>
                <w:szCs w:val="23"/>
              </w:rPr>
              <w:t>2.10</w:t>
            </w:r>
          </w:p>
        </w:tc>
        <w:tc>
          <w:tcPr>
            <w:tcW w:w="6042" w:type="dxa"/>
            <w:vAlign w:val="top"/>
          </w:tcPr>
          <w:p>
            <w:pPr>
              <w:pStyle w:val="6"/>
              <w:spacing w:before="162" w:line="198" w:lineRule="auto"/>
              <w:ind w:left="135"/>
            </w:pPr>
            <w:r>
              <w:rPr>
                <w:b/>
                <w:bCs/>
                <w:spacing w:val="5"/>
              </w:rPr>
              <w:t>改革重点</w:t>
            </w:r>
          </w:p>
          <w:p>
            <w:pPr>
              <w:pStyle w:val="6"/>
              <w:spacing w:before="249" w:line="200" w:lineRule="auto"/>
              <w:ind w:left="130"/>
            </w:pPr>
            <w:r>
              <w:rPr>
                <w:spacing w:val="8"/>
              </w:rPr>
              <w:t>深化国有企业改革</w:t>
            </w:r>
          </w:p>
          <w:p>
            <w:pPr>
              <w:pStyle w:val="6"/>
              <w:spacing w:before="247" w:line="200" w:lineRule="auto"/>
              <w:ind w:left="144"/>
            </w:pPr>
            <w:r>
              <w:rPr>
                <w:spacing w:val="7"/>
              </w:rPr>
              <w:t>国企改革与公司治理</w:t>
            </w:r>
          </w:p>
          <w:p>
            <w:pPr>
              <w:pStyle w:val="6"/>
              <w:spacing w:before="247" w:line="200" w:lineRule="auto"/>
              <w:ind w:left="144"/>
            </w:pPr>
            <w:r>
              <w:rPr>
                <w:spacing w:val="7"/>
              </w:rPr>
              <w:t>国有企业法人治理结构</w:t>
            </w:r>
          </w:p>
          <w:p>
            <w:pPr>
              <w:pStyle w:val="6"/>
              <w:spacing w:before="248" w:line="199" w:lineRule="auto"/>
              <w:ind w:left="130"/>
            </w:pPr>
            <w:r>
              <w:rPr>
                <w:spacing w:val="9"/>
              </w:rPr>
              <w:t>新形势下的国企治理结构改革及监管模式创新</w:t>
            </w:r>
          </w:p>
          <w:p>
            <w:pPr>
              <w:pStyle w:val="6"/>
              <w:spacing w:before="249" w:line="571" w:lineRule="exact"/>
              <w:jc w:val="right"/>
            </w:pPr>
            <w:r>
              <w:rPr>
                <w:spacing w:val="6"/>
                <w:position w:val="25"/>
              </w:rPr>
              <w:t>在中国特色现代企业制度中，如何落实党的政治核心作用</w:t>
            </w:r>
          </w:p>
          <w:p>
            <w:pPr>
              <w:pStyle w:val="6"/>
              <w:spacing w:line="202" w:lineRule="auto"/>
              <w:ind w:left="144"/>
            </w:pPr>
            <w:r>
              <w:rPr>
                <w:spacing w:val="8"/>
              </w:rPr>
              <w:t>国有企业混合所有制方向与路径</w:t>
            </w:r>
          </w:p>
          <w:p>
            <w:pPr>
              <w:pStyle w:val="6"/>
              <w:spacing w:before="244" w:line="203" w:lineRule="auto"/>
              <w:ind w:left="144"/>
            </w:pPr>
            <w:r>
              <w:rPr>
                <w:spacing w:val="7"/>
              </w:rPr>
              <w:t>国有企业混改的操作模式</w:t>
            </w:r>
          </w:p>
          <w:p>
            <w:pPr>
              <w:pStyle w:val="6"/>
              <w:spacing w:before="248" w:line="199" w:lineRule="auto"/>
              <w:ind w:left="144"/>
            </w:pPr>
            <w:r>
              <w:rPr>
                <w:spacing w:val="8"/>
              </w:rPr>
              <w:t>国有企业发展混合所有制经济风险的防范</w:t>
            </w:r>
          </w:p>
          <w:p>
            <w:pPr>
              <w:pStyle w:val="6"/>
              <w:spacing w:before="248" w:line="569" w:lineRule="exact"/>
              <w:ind w:left="144"/>
            </w:pPr>
            <w:r>
              <w:rPr>
                <w:spacing w:val="8"/>
                <w:position w:val="25"/>
              </w:rPr>
              <w:t>国有企业资产保值增值的运作方式与风险防范</w:t>
            </w:r>
          </w:p>
          <w:p>
            <w:pPr>
              <w:pStyle w:val="6"/>
              <w:spacing w:line="250" w:lineRule="exact"/>
              <w:ind w:left="144"/>
            </w:pPr>
            <w:r>
              <w:rPr>
                <w:spacing w:val="8"/>
                <w:position w:val="-1"/>
              </w:rPr>
              <w:t>国有资产管理</w:t>
            </w:r>
            <w:r>
              <w:rPr>
                <w:rFonts w:ascii="Times New Roman" w:hAnsi="Times New Roman" w:eastAsia="Times New Roman" w:cs="Times New Roman"/>
                <w:spacing w:val="8"/>
                <w:position w:val="-1"/>
              </w:rPr>
              <w:t>/</w:t>
            </w:r>
            <w:r>
              <w:rPr>
                <w:spacing w:val="8"/>
                <w:position w:val="-1"/>
              </w:rPr>
              <w:t>国有资产绩效跟踪评价</w:t>
            </w:r>
          </w:p>
        </w:tc>
      </w:tr>
    </w:tbl>
    <w:p>
      <w:pPr>
        <w:pStyle w:val="2"/>
        <w:spacing w:line="1887" w:lineRule="exact"/>
      </w:pPr>
      <w: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page">
                  <wp:posOffset>1125220</wp:posOffset>
                </wp:positionH>
                <wp:positionV relativeFrom="page">
                  <wp:posOffset>717550</wp:posOffset>
                </wp:positionV>
                <wp:extent cx="5316220" cy="9525"/>
                <wp:effectExtent l="0" t="0" r="0" b="0"/>
                <wp:wrapNone/>
                <wp:docPr id="26" name="Rect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5321" y="718057"/>
                          <a:ext cx="5316220" cy="952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 26" o:spid="_x0000_s1026" o:spt="1" style="position:absolute;left:0pt;margin-left:88.6pt;margin-top:56.5pt;height:0.75pt;width:418.6pt;mso-position-horizontal-relative:page;mso-position-vertical-relative:page;z-index:-251657216;mso-width-relative:page;mso-height-relative:page;" fillcolor="#000000" filled="t" stroked="f" coordsize="21600,21600" o:allowincell="f" o:gfxdata="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X7DMj2AAAAAwBAAAPAAAAAAAAAAEAIAAAACIAAABkcnMvZG93bnJldi54bWxQSwEC&#10;FAAUAAAACACHTuJAjs2gjy0CAABtBAAADgAAAAAAAAABACAAAAAnAQAAZHJzL2Uyb0RvYy54bWxQ&#10;SwUGAAAAAAYABgBZAQAAxgUAAAAA&#10;">
                <v:fill on="t" focussize="0,0"/>
                <v:stroke on="f" weight="0pt"/>
                <v:imagedata o:title=""/>
                <o:lock v:ext="edit" aspectratio="f"/>
                <v:textbox inset="0mm,0mm,0mm,0mm"/>
              </v:rect>
            </w:pict>
          </mc:Fallback>
        </mc:AlternateContent>
      </w:r>
    </w:p>
    <w:p>
      <w:pPr>
        <w:spacing w:line="14" w:lineRule="auto"/>
        <w:rPr>
          <w:rFonts w:ascii="Arial"/>
          <w:sz w:val="2"/>
        </w:rPr>
      </w:pPr>
    </w:p>
    <w:p>
      <w:pPr>
        <w:pStyle w:val="2"/>
        <w:spacing w:before="48" w:line="199" w:lineRule="auto"/>
        <w:ind w:left="131"/>
        <w:rPr>
          <w:sz w:val="23"/>
          <w:szCs w:val="23"/>
        </w:rPr>
      </w:pPr>
      <w:r>
        <w:rPr>
          <w:b/>
          <w:bCs/>
          <w:spacing w:val="6"/>
          <w:sz w:val="23"/>
          <w:szCs w:val="23"/>
        </w:rPr>
        <w:t>转型创新</w:t>
      </w:r>
    </w:p>
    <w:p>
      <w:pPr>
        <w:pStyle w:val="2"/>
        <w:spacing w:before="250" w:line="199" w:lineRule="auto"/>
        <w:ind w:left="145"/>
        <w:rPr>
          <w:sz w:val="23"/>
          <w:szCs w:val="23"/>
        </w:rPr>
      </w:pPr>
      <w:r>
        <w:rPr>
          <w:spacing w:val="7"/>
          <w:sz w:val="23"/>
          <w:szCs w:val="23"/>
        </w:rPr>
        <w:t>国企改革与转型升级</w:t>
      </w:r>
    </w:p>
    <w:p>
      <w:pPr>
        <w:pStyle w:val="2"/>
        <w:spacing w:before="249" w:line="199" w:lineRule="auto"/>
        <w:ind w:left="132"/>
        <w:rPr>
          <w:sz w:val="23"/>
          <w:szCs w:val="23"/>
        </w:rPr>
      </w:pPr>
      <w:r>
        <w:rPr>
          <w:spacing w:val="9"/>
          <w:sz w:val="23"/>
          <w:szCs w:val="23"/>
        </w:rPr>
        <w:t>关于国企改革与创新发展的探索</w:t>
      </w:r>
    </w:p>
    <w:p>
      <w:pPr>
        <w:pStyle w:val="2"/>
        <w:spacing w:before="248" w:line="576" w:lineRule="exact"/>
        <w:ind w:left="131"/>
        <w:rPr>
          <w:sz w:val="23"/>
          <w:szCs w:val="23"/>
        </w:rPr>
      </w:pPr>
      <w:r>
        <w:rPr>
          <w:spacing w:val="9"/>
          <w:position w:val="25"/>
          <w:sz w:val="23"/>
          <w:szCs w:val="23"/>
        </w:rPr>
        <w:t>实施创新驱动战略，推动国企转型</w:t>
      </w:r>
    </w:p>
    <w:p>
      <w:pPr>
        <w:pStyle w:val="2"/>
        <w:spacing w:before="1" w:line="199" w:lineRule="auto"/>
        <w:ind w:left="145"/>
        <w:rPr>
          <w:sz w:val="23"/>
          <w:szCs w:val="23"/>
        </w:rPr>
      </w:pPr>
      <w:r>
        <w:rPr>
          <w:spacing w:val="7"/>
          <w:sz w:val="23"/>
          <w:szCs w:val="23"/>
        </w:rPr>
        <w:t>国有企业市场化创新</w:t>
      </w:r>
    </w:p>
    <w:p>
      <w:pPr>
        <w:pStyle w:val="2"/>
        <w:spacing w:before="248" w:line="199" w:lineRule="auto"/>
        <w:ind w:left="145"/>
        <w:rPr>
          <w:sz w:val="23"/>
          <w:szCs w:val="23"/>
        </w:rPr>
      </w:pPr>
      <w:r>
        <w:rPr>
          <w:spacing w:val="8"/>
          <w:sz w:val="23"/>
          <w:szCs w:val="23"/>
        </w:rPr>
        <w:t>国企改革转型升级与市场化思维</w:t>
      </w:r>
    </w:p>
    <w:p>
      <w:pPr>
        <w:pStyle w:val="2"/>
        <w:spacing w:before="249" w:line="199" w:lineRule="auto"/>
        <w:ind w:left="145"/>
        <w:rPr>
          <w:sz w:val="23"/>
          <w:szCs w:val="23"/>
        </w:rPr>
      </w:pPr>
      <w:r>
        <w:rPr>
          <w:spacing w:val="8"/>
          <w:sz w:val="23"/>
          <w:szCs w:val="23"/>
        </w:rPr>
        <w:t>国企市场化思维创新与核心竞争力打造</w:t>
      </w:r>
    </w:p>
    <w:p>
      <w:pPr>
        <w:pStyle w:val="2"/>
        <w:spacing w:before="249" w:line="576" w:lineRule="exact"/>
        <w:ind w:left="145"/>
        <w:rPr>
          <w:sz w:val="23"/>
          <w:szCs w:val="23"/>
        </w:rPr>
      </w:pPr>
      <w:r>
        <w:rPr>
          <w:spacing w:val="8"/>
          <w:position w:val="25"/>
          <w:sz w:val="23"/>
          <w:szCs w:val="23"/>
        </w:rPr>
        <w:t>国资国企改革，碳达峰、碳中和与发展转型</w:t>
      </w:r>
    </w:p>
    <w:p>
      <w:pPr>
        <w:pStyle w:val="2"/>
        <w:spacing w:before="2" w:line="197" w:lineRule="auto"/>
        <w:ind w:left="145"/>
        <w:rPr>
          <w:sz w:val="23"/>
          <w:szCs w:val="23"/>
        </w:rPr>
      </w:pPr>
      <w:r>
        <w:rPr>
          <w:spacing w:val="7"/>
          <w:sz w:val="23"/>
          <w:szCs w:val="23"/>
        </w:rPr>
        <w:t>国企数字化转型与经营创新</w:t>
      </w:r>
    </w:p>
    <w:p>
      <w:pPr>
        <w:pStyle w:val="2"/>
        <w:spacing w:before="251" w:line="576" w:lineRule="exact"/>
        <w:ind w:left="132"/>
        <w:rPr>
          <w:sz w:val="23"/>
          <w:szCs w:val="23"/>
        </w:rPr>
      </w:pPr>
      <w:r>
        <w:rPr>
          <w:spacing w:val="9"/>
          <w:position w:val="25"/>
          <w:sz w:val="23"/>
          <w:szCs w:val="23"/>
        </w:rPr>
        <w:t>高速公路运营企业数字化转型与管理创新</w:t>
      </w:r>
    </w:p>
    <w:p>
      <w:pPr>
        <w:pStyle w:val="2"/>
        <w:spacing w:line="199" w:lineRule="auto"/>
        <w:ind w:left="145"/>
        <w:rPr>
          <w:sz w:val="23"/>
          <w:szCs w:val="23"/>
        </w:rPr>
      </w:pPr>
      <w:r>
        <w:rPr>
          <w:spacing w:val="7"/>
          <w:sz w:val="23"/>
          <w:szCs w:val="23"/>
        </w:rPr>
        <w:t>国有企业产融创新与风险防控</w:t>
      </w:r>
    </w:p>
    <w:p>
      <w:pPr>
        <w:pStyle w:val="2"/>
        <w:spacing w:before="248" w:line="199" w:lineRule="auto"/>
        <w:ind w:left="145"/>
        <w:rPr>
          <w:sz w:val="23"/>
          <w:szCs w:val="23"/>
        </w:rPr>
      </w:pPr>
      <w:r>
        <w:rPr>
          <w:spacing w:val="8"/>
          <w:sz w:val="23"/>
          <w:szCs w:val="23"/>
        </w:rPr>
        <w:t>国有平台公司实体化转型与债务风险应对</w:t>
      </w:r>
    </w:p>
    <w:p>
      <w:pPr>
        <w:pStyle w:val="2"/>
        <w:spacing w:before="250" w:line="253" w:lineRule="exact"/>
        <w:ind w:left="128"/>
        <w:rPr>
          <w:sz w:val="23"/>
          <w:szCs w:val="23"/>
        </w:rPr>
      </w:pPr>
      <w:r>
        <w:rPr>
          <w:spacing w:val="6"/>
          <w:position w:val="-1"/>
          <w:sz w:val="23"/>
          <w:szCs w:val="23"/>
        </w:rPr>
        <w:t>供给侧改革的经济走势和投资选择、战略构建与执行路径</w:t>
      </w:r>
    </w:p>
    <w:p/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11" w:lineRule="auto"/>
      <w:ind w:left="3989"/>
      <w:rPr>
        <w:rFonts w:ascii="Calibri" w:hAnsi="Calibri" w:eastAsia="Calibri" w:cs="Calibri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5OTc3ZTM3MWFhMzAzMjI4NzJlY2JlN2NkZDc1NTkifQ=="/>
  </w:docVars>
  <w:rsids>
    <w:rsidRoot w:val="0A681904"/>
    <w:rsid w:val="0A6819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36"/>
      <w:szCs w:val="36"/>
      <w:lang w:val="en-US" w:eastAsia="en-US" w:bidi="ar-SA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Table Text"/>
    <w:basedOn w:val="1"/>
    <w:semiHidden/>
    <w:qFormat/>
    <w:uiPriority w:val="0"/>
    <w:rPr>
      <w:rFonts w:ascii="微软雅黑" w:hAnsi="微软雅黑" w:eastAsia="微软雅黑" w:cs="微软雅黑"/>
      <w:sz w:val="23"/>
      <w:szCs w:val="23"/>
      <w:lang w:val="en-US" w:eastAsia="en-US" w:bidi="ar-SA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2023-12-27T01:31:00Z</dcterms:created>
  <dc:creator>蓉儿</dc:creator>
  <cp:lastModifiedBy>蓉儿</cp:lastModifiedBy>
  <dcterms:modified xsi:type="dcterms:W3CDTF">2023-12-27T01:32:49Z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0CD49783875B4ACBAFCB97AB7C711AC8_11</vt:lpwstr>
  </property>
</Properties>
</file>