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ind w:left="976" w:leftChars="465" w:right="1134" w:rightChars="540" w:firstLine="601" w:firstLineChars="200"/>
        <w:jc w:val="center"/>
        <w:rPr>
          <w:rFonts w:hint="default" w:ascii="Microsoft YaHei" w:hAnsi="Microsoft YaHei" w:eastAsia="Microsoft YaHei"/>
          <w:b/>
          <w:sz w:val="30"/>
          <w:szCs w:val="30"/>
        </w:rPr>
      </w:pPr>
      <w:r>
        <w:rPr>
          <w:rFonts w:hint="default" w:ascii="Microsoft YaHei" w:hAnsi="Microsoft YaHei" w:eastAsia="Microsoft YaHei"/>
          <w:b/>
          <w:sz w:val="30"/>
          <w:szCs w:val="30"/>
        </w:rPr>
        <w:t>Five moments积极领导力（体验式）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1134" w:rightChars="540" w:firstLine="0" w:firstLineChars="0"/>
        <w:jc w:val="both"/>
        <w:textAlignment w:val="auto"/>
        <w:outlineLvl w:val="9"/>
        <w:rPr>
          <w:rFonts w:hint="default" w:ascii="Microsoft YaHei" w:hAnsi="Microsoft YaHei" w:eastAsia="Microsoft YaHei"/>
          <w:b w:val="0"/>
          <w:bCs/>
          <w:sz w:val="28"/>
          <w:szCs w:val="28"/>
        </w:rPr>
      </w:pPr>
      <w:r>
        <w:rPr>
          <w:rFonts w:hint="default" w:ascii="Microsoft YaHei" w:hAnsi="Microsoft YaHei" w:eastAsia="Microsoft YaHei"/>
          <w:b w:val="0"/>
          <w:bCs/>
          <w:sz w:val="28"/>
          <w:szCs w:val="28"/>
        </w:rPr>
        <w:t>【课程特点】：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1134" w:rightChars="540" w:firstLine="0" w:firstLineChars="0"/>
        <w:jc w:val="both"/>
        <w:textAlignment w:val="auto"/>
        <w:outlineLvl w:val="9"/>
        <w:rPr>
          <w:rFonts w:hint="default" w:ascii="Microsoft YaHei" w:hAnsi="Microsoft YaHei" w:eastAsia="Microsoft YaHei"/>
          <w:b w:val="0"/>
          <w:bCs/>
          <w:sz w:val="28"/>
          <w:szCs w:val="28"/>
        </w:rPr>
      </w:pPr>
      <w:r>
        <w:rPr>
          <w:rFonts w:hint="default" w:ascii="Microsoft YaHei" w:hAnsi="Microsoft YaHei" w:eastAsia="Microsoft YaHei"/>
          <w:b w:val="0"/>
          <w:bCs/>
          <w:sz w:val="28"/>
          <w:szCs w:val="28"/>
        </w:rPr>
        <w:t>模拟经营 训战结合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1134" w:rightChars="540" w:firstLine="0" w:firstLineChars="0"/>
        <w:jc w:val="both"/>
        <w:textAlignment w:val="auto"/>
        <w:outlineLvl w:val="9"/>
        <w:rPr>
          <w:rFonts w:hint="eastAsia" w:ascii="华文仿宋" w:hAnsi="华文仿宋" w:eastAsia="华文仿宋" w:cs="华文仿宋"/>
          <w:b w:val="0"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 w:val="0"/>
          <w:bCs/>
          <w:sz w:val="28"/>
          <w:szCs w:val="28"/>
        </w:rPr>
        <w:t>课程采用经营模拟沙盘为管理者创造深刻的体验，然后在讲师的带领下深度反思自己的思维方式及管理行为的有效性，这将起到传统培训很难实现的培训效果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1134" w:rightChars="540" w:firstLine="0" w:firstLineChars="0"/>
        <w:jc w:val="both"/>
        <w:textAlignment w:val="auto"/>
        <w:outlineLvl w:val="9"/>
        <w:rPr>
          <w:rFonts w:hint="default" w:ascii="Microsoft YaHei" w:hAnsi="Microsoft YaHei" w:eastAsia="Microsoft YaHei"/>
          <w:b w:val="0"/>
          <w:bCs/>
          <w:sz w:val="28"/>
          <w:szCs w:val="28"/>
        </w:rPr>
      </w:pPr>
      <w:r>
        <w:rPr>
          <w:rFonts w:hint="default" w:ascii="Microsoft YaHei" w:hAnsi="Microsoft YaHei" w:eastAsia="Microsoft YaHei"/>
          <w:b w:val="0"/>
          <w:bCs/>
          <w:sz w:val="28"/>
          <w:szCs w:val="28"/>
        </w:rPr>
        <w:t>体验反思 从知到悟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1134" w:rightChars="540" w:firstLine="0" w:firstLineChars="0"/>
        <w:jc w:val="both"/>
        <w:textAlignment w:val="auto"/>
        <w:outlineLvl w:val="9"/>
        <w:rPr>
          <w:rFonts w:hint="eastAsia" w:ascii="华文仿宋" w:hAnsi="华文仿宋" w:eastAsia="华文仿宋" w:cs="华文仿宋"/>
          <w:b w:val="0"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 w:val="0"/>
          <w:bCs/>
          <w:sz w:val="28"/>
          <w:szCs w:val="28"/>
        </w:rPr>
        <w:t>课程中培训师将给予游戏中发生的必然及偶然事件，进行多个问题的提问，能够带领学员从游戏中的具象，抽离出背后的规律，并在工作中加以运用，学习认知非常深刻。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1134" w:rightChars="540" w:firstLine="0" w:firstLineChars="0"/>
        <w:jc w:val="both"/>
        <w:textAlignment w:val="auto"/>
        <w:outlineLvl w:val="9"/>
        <w:rPr>
          <w:rFonts w:hint="default" w:ascii="Microsoft YaHei" w:hAnsi="Microsoft YaHei" w:eastAsia="Microsoft YaHei"/>
          <w:b w:val="0"/>
          <w:bCs/>
          <w:sz w:val="28"/>
          <w:szCs w:val="28"/>
        </w:rPr>
      </w:pPr>
      <w:r>
        <w:rPr>
          <w:rFonts w:hint="default" w:ascii="Microsoft YaHei" w:hAnsi="Microsoft YaHei" w:eastAsia="Microsoft YaHei"/>
          <w:b w:val="0"/>
          <w:bCs/>
          <w:sz w:val="28"/>
          <w:szCs w:val="28"/>
        </w:rPr>
        <w:t>管理测评 感知差距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1134" w:rightChars="540" w:firstLine="0" w:firstLineChars="0"/>
        <w:jc w:val="both"/>
        <w:textAlignment w:val="auto"/>
        <w:outlineLvl w:val="9"/>
        <w:rPr>
          <w:rFonts w:hint="eastAsia" w:ascii="华文仿宋" w:hAnsi="华文仿宋" w:eastAsia="华文仿宋" w:cs="华文仿宋"/>
          <w:b w:val="0"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 w:val="0"/>
          <w:bCs/>
          <w:sz w:val="28"/>
          <w:szCs w:val="28"/>
        </w:rPr>
        <w:t>本课程已经有700+场次的训练数据，经营模拟沙盘结束之后，学员可以通过数据对比，体验卓越的管理模式。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1134" w:rightChars="540" w:firstLine="0" w:firstLineChars="0"/>
        <w:jc w:val="both"/>
        <w:textAlignment w:val="auto"/>
        <w:outlineLvl w:val="9"/>
        <w:rPr>
          <w:rFonts w:hint="default" w:ascii="Microsoft YaHei" w:hAnsi="Microsoft YaHei" w:eastAsia="Microsoft YaHei"/>
          <w:b w:val="0"/>
          <w:bCs/>
          <w:sz w:val="28"/>
          <w:szCs w:val="28"/>
        </w:rPr>
      </w:pPr>
      <w:r>
        <w:rPr>
          <w:rFonts w:hint="default" w:ascii="Microsoft YaHei" w:hAnsi="Microsoft YaHei" w:eastAsia="Microsoft YaHei"/>
          <w:b w:val="0"/>
          <w:bCs/>
          <w:sz w:val="28"/>
          <w:szCs w:val="28"/>
        </w:rPr>
        <w:t>系统设计 结构严谨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1134" w:rightChars="540" w:firstLine="0" w:firstLineChars="0"/>
        <w:jc w:val="both"/>
        <w:textAlignment w:val="auto"/>
        <w:outlineLvl w:val="9"/>
        <w:rPr>
          <w:rFonts w:hint="eastAsia" w:ascii="华文仿宋" w:hAnsi="华文仿宋" w:eastAsia="华文仿宋" w:cs="华文仿宋"/>
          <w:b w:val="0"/>
          <w:bCs/>
          <w:sz w:val="28"/>
          <w:szCs w:val="28"/>
        </w:rPr>
      </w:pPr>
      <w:r>
        <w:rPr>
          <w:rFonts w:hint="eastAsia" w:ascii="华文仿宋" w:hAnsi="华文仿宋" w:eastAsia="华文仿宋" w:cs="华文仿宋"/>
          <w:b w:val="0"/>
          <w:bCs/>
          <w:sz w:val="28"/>
          <w:szCs w:val="28"/>
        </w:rPr>
        <w:t>与传统的沙盘化课程对比，本课程提供非常清晰及完整知识架构，在很大程度上改善了传统游戏化学习的“无序”感及提高上手速度。</w:t>
      </w:r>
    </w:p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/>
          <w:b/>
          <w:sz w:val="28"/>
        </w:rPr>
      </w:pPr>
      <w:r>
        <w:rPr>
          <w:rFonts w:hint="default" w:ascii="仿宋" w:hAnsi="仿宋" w:eastAsia="仿宋"/>
          <w:b/>
          <w:sz w:val="28"/>
        </w:rPr>
        <w:t>【课程大纲】：</w:t>
      </w:r>
    </w:p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/>
          <w:b/>
          <w:sz w:val="28"/>
        </w:rPr>
      </w:pPr>
      <w:r>
        <w:rPr>
          <w:rFonts w:hint="default" w:ascii="仿宋" w:hAnsi="仿宋" w:eastAsia="仿宋"/>
          <w:b/>
          <w:sz w:val="28"/>
        </w:rPr>
        <w:t>Moment-1 掌控局面 准确决策</w:t>
      </w:r>
    </w:p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/>
          <w:b/>
          <w:sz w:val="28"/>
        </w:rPr>
      </w:pPr>
      <w:r>
        <w:rPr>
          <w:rFonts w:hint="default" w:ascii="仿宋" w:hAnsi="仿宋" w:eastAsia="仿宋"/>
          <w:b/>
          <w:sz w:val="28"/>
        </w:rPr>
        <w:t>掌控局面的四个领导行为</w:t>
      </w:r>
    </w:p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/>
          <w:b/>
          <w:sz w:val="28"/>
        </w:rPr>
      </w:pPr>
      <w:r>
        <w:rPr>
          <w:rFonts w:hint="default" w:ascii="仿宋" w:hAnsi="仿宋" w:eastAsia="仿宋"/>
          <w:b/>
          <w:sz w:val="28"/>
        </w:rPr>
        <w:t>全局思维的角度与逻辑</w:t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/>
          <w:b/>
          <w:sz w:val="28"/>
        </w:rPr>
      </w:pPr>
      <w:r>
        <w:rPr>
          <w:rFonts w:hint="default" w:ascii="仿宋" w:hAnsi="仿宋" w:eastAsia="仿宋"/>
          <w:b/>
          <w:sz w:val="28"/>
        </w:rPr>
        <w:t>从盲目行动到管理者的克制</w:t>
      </w:r>
    </w:p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/>
          <w:b/>
          <w:sz w:val="28"/>
        </w:rPr>
      </w:pPr>
      <w:r>
        <w:rPr>
          <w:rFonts w:hint="default" w:ascii="仿宋" w:hAnsi="仿宋" w:eastAsia="仿宋"/>
          <w:b/>
          <w:sz w:val="28"/>
        </w:rPr>
        <w:t>选择决策风格</w:t>
      </w:r>
    </w:p>
    <w:p>
      <w:pPr>
        <w:numPr>
          <w:ilvl w:val="0"/>
          <w:numId w:val="0"/>
        </w:numPr>
        <w:spacing w:line="360" w:lineRule="auto"/>
        <w:rPr>
          <w:rFonts w:hint="eastAsia" w:ascii="仿宋" w:hAnsi="仿宋" w:eastAsia="仿宋"/>
          <w:b/>
          <w:sz w:val="28"/>
          <w:lang w:val="en-US" w:eastAsia="zh-Hans"/>
        </w:rPr>
      </w:pPr>
      <w:r>
        <w:rPr>
          <w:rFonts w:hint="default" w:ascii="仿宋" w:hAnsi="仿宋" w:eastAsia="仿宋"/>
          <w:b/>
          <w:sz w:val="28"/>
        </w:rPr>
        <w:t xml:space="preserve">Moment-2全面规划 </w:t>
      </w:r>
      <w:r>
        <w:rPr>
          <w:rFonts w:hint="eastAsia" w:ascii="仿宋" w:hAnsi="仿宋" w:eastAsia="仿宋"/>
          <w:b/>
          <w:sz w:val="28"/>
          <w:lang w:val="en-US" w:eastAsia="zh-Hans"/>
        </w:rPr>
        <w:t>解决问题</w:t>
      </w:r>
    </w:p>
    <w:p>
      <w:pPr>
        <w:numPr>
          <w:ilvl w:val="0"/>
          <w:numId w:val="0"/>
        </w:numPr>
        <w:spacing w:line="360" w:lineRule="auto"/>
        <w:rPr>
          <w:rFonts w:hint="eastAsia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认识问题的本质是解决问题的起点</w:t>
      </w:r>
    </w:p>
    <w:p>
      <w:pPr>
        <w:autoSpaceDE w:val="0"/>
        <w:autoSpaceDN w:val="0"/>
        <w:adjustRightInd w:val="0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、将问题具体化</w:t>
      </w:r>
    </w:p>
    <w:p>
      <w:pPr>
        <w:autoSpaceDE w:val="0"/>
        <w:autoSpaceDN w:val="0"/>
        <w:adjustRightInd w:val="0"/>
        <w:rPr>
          <w:rFonts w:hint="eastAsia"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、对问题进行排序</w:t>
      </w:r>
    </w:p>
    <w:p>
      <w:pPr>
        <w:numPr>
          <w:ilvl w:val="0"/>
          <w:numId w:val="0"/>
        </w:numPr>
        <w:spacing w:line="360" w:lineRule="auto"/>
        <w:rPr>
          <w:rFonts w:hint="eastAsia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认清问题发生的原因才能准确解决问题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1、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寻找问题线索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2、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推断可能的原因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3、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验证可能的原因</w:t>
      </w:r>
    </w:p>
    <w:p>
      <w:pPr>
        <w:numPr>
          <w:ilvl w:val="0"/>
          <w:numId w:val="0"/>
        </w:numPr>
        <w:spacing w:line="360" w:lineRule="auto"/>
        <w:rPr>
          <w:rFonts w:hint="eastAsia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制定合理决策解决问题的步骤</w:t>
      </w:r>
    </w:p>
    <w:p>
      <w:pPr>
        <w:autoSpaceDE w:val="0"/>
        <w:autoSpaceDN w:val="0"/>
        <w:adjustRightInd w:val="0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1、描述决策目标——SMART原则</w:t>
      </w:r>
    </w:p>
    <w:p>
      <w:pPr>
        <w:autoSpaceDE w:val="0"/>
        <w:autoSpaceDN w:val="0"/>
        <w:adjustRightInd w:val="0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2、设定决策标准</w:t>
      </w:r>
    </w:p>
    <w:p>
      <w:pPr>
        <w:autoSpaceDE w:val="0"/>
        <w:autoSpaceDN w:val="0"/>
        <w:adjustRightInd w:val="0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3、找出备选方案</w:t>
      </w:r>
    </w:p>
    <w:p>
      <w:pPr>
        <w:autoSpaceDE w:val="0"/>
        <w:autoSpaceDN w:val="0"/>
        <w:adjustRightInd w:val="0"/>
        <w:rPr>
          <w:rFonts w:hint="eastAsia"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4、风险评估</w:t>
      </w:r>
    </w:p>
    <w:p>
      <w:pPr>
        <w:numPr>
          <w:ilvl w:val="0"/>
          <w:numId w:val="0"/>
        </w:numPr>
        <w:spacing w:line="360" w:lineRule="auto"/>
        <w:rPr>
          <w:rFonts w:hint="eastAsia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  <w:lang w:val="en-US" w:eastAsia="zh-Hans"/>
        </w:rPr>
        <w:t>制定</w:t>
      </w:r>
      <w:r>
        <w:rPr>
          <w:rFonts w:hint="eastAsia" w:ascii="仿宋" w:hAnsi="仿宋" w:eastAsia="仿宋"/>
          <w:b/>
          <w:sz w:val="28"/>
        </w:rPr>
        <w:t>执行计划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1、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制定计划五步法</w:t>
      </w:r>
    </w:p>
    <w:p>
      <w:pPr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2、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计划的关键点控制与PDCA循环</w:t>
      </w:r>
    </w:p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/>
          <w:b/>
          <w:sz w:val="28"/>
        </w:rPr>
      </w:pPr>
      <w:r>
        <w:rPr>
          <w:rFonts w:hint="default" w:ascii="仿宋" w:hAnsi="仿宋" w:eastAsia="仿宋"/>
          <w:b/>
          <w:sz w:val="28"/>
        </w:rPr>
        <w:t>Moment-3</w:t>
      </w:r>
      <w:r>
        <w:rPr>
          <w:rFonts w:hint="eastAsia" w:ascii="仿宋" w:hAnsi="仿宋" w:eastAsia="仿宋"/>
          <w:b/>
          <w:sz w:val="28"/>
          <w:lang w:val="en-US" w:eastAsia="zh-Hans"/>
        </w:rPr>
        <w:t>加强沟通</w:t>
      </w:r>
      <w:r>
        <w:rPr>
          <w:rFonts w:hint="default" w:ascii="仿宋" w:hAnsi="仿宋" w:eastAsia="仿宋"/>
          <w:b/>
          <w:sz w:val="28"/>
        </w:rPr>
        <w:t xml:space="preserve"> </w:t>
      </w:r>
      <w:r>
        <w:rPr>
          <w:rFonts w:hint="eastAsia" w:ascii="仿宋" w:hAnsi="仿宋" w:eastAsia="仿宋"/>
          <w:b/>
          <w:sz w:val="28"/>
          <w:lang w:val="en-US" w:eastAsia="zh-Hans"/>
        </w:rPr>
        <w:t>促进</w:t>
      </w:r>
      <w:r>
        <w:rPr>
          <w:rFonts w:hint="default" w:ascii="仿宋" w:hAnsi="仿宋" w:eastAsia="仿宋"/>
          <w:b/>
          <w:sz w:val="28"/>
        </w:rPr>
        <w:t>合作</w:t>
      </w:r>
    </w:p>
    <w:p>
      <w:pPr>
        <w:numPr>
          <w:ilvl w:val="0"/>
          <w:numId w:val="0"/>
        </w:numPr>
        <w:spacing w:line="360" w:lineRule="auto"/>
        <w:rPr>
          <w:rFonts w:hint="eastAsia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认知跨部门沟通障碍</w:t>
      </w:r>
    </w:p>
    <w:p>
      <w:pPr>
        <w:autoSpaceDE w:val="0"/>
        <w:autoSpaceDN w:val="0"/>
        <w:adjustRightInd w:val="0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1、企业内跨部门沟通障碍的三种类型</w:t>
      </w:r>
    </w:p>
    <w:p>
      <w:pPr>
        <w:autoSpaceDE w:val="0"/>
        <w:autoSpaceDN w:val="0"/>
        <w:adjustRightInd w:val="0"/>
        <w:rPr>
          <w:rFonts w:hint="eastAsia" w:ascii="仿宋_GB2312" w:hAnsi="仿宋_GB2312" w:eastAsia="仿宋_GB2312" w:cs="仿宋_GB2312"/>
          <w:b/>
          <w:sz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2、跨部门沟通障碍产生的原因分析</w:t>
      </w:r>
    </w:p>
    <w:p>
      <w:pPr>
        <w:numPr>
          <w:ilvl w:val="0"/>
          <w:numId w:val="0"/>
        </w:numPr>
        <w:spacing w:line="360" w:lineRule="auto"/>
        <w:rPr>
          <w:rFonts w:hint="eastAsia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跨部门沟通技巧</w:t>
      </w:r>
    </w:p>
    <w:p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1、营造良好的沟通氛围</w:t>
      </w:r>
    </w:p>
    <w:p>
      <w:pPr>
        <w:autoSpaceDE w:val="0"/>
        <w:autoSpaceDN w:val="0"/>
        <w:adjustRightInd w:val="0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2、建立畅通的沟通通道</w:t>
      </w:r>
    </w:p>
    <w:p>
      <w:pPr>
        <w:autoSpaceDE w:val="0"/>
        <w:autoSpaceDN w:val="0"/>
        <w:adjustRightInd w:val="0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、部门间不同意见的正确处理</w:t>
      </w:r>
    </w:p>
    <w:p>
      <w:pPr>
        <w:autoSpaceDE w:val="0"/>
        <w:autoSpaceDN w:val="0"/>
        <w:adjustRightInd w:val="0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、沟通中的自我控制</w:t>
      </w:r>
    </w:p>
    <w:p>
      <w:pPr>
        <w:numPr>
          <w:ilvl w:val="0"/>
          <w:numId w:val="0"/>
        </w:numPr>
        <w:spacing w:line="360" w:lineRule="auto"/>
        <w:rPr>
          <w:rFonts w:hint="eastAsia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跨部门沟通的解决要点</w:t>
      </w:r>
    </w:p>
    <w:p>
      <w:pPr>
        <w:autoSpaceDE w:val="0"/>
        <w:autoSpaceDN w:val="0"/>
        <w:adjustRightInd w:val="0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1、改变从第一责任人做起</w:t>
      </w:r>
    </w:p>
    <w:p>
      <w:pPr>
        <w:autoSpaceDE w:val="0"/>
        <w:autoSpaceDN w:val="0"/>
        <w:adjustRightInd w:val="0"/>
        <w:rPr>
          <w:rFonts w:hint="eastAsia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2、换位思考解决跨部门沟通障碍的重难点</w:t>
      </w:r>
    </w:p>
    <w:p>
      <w:pPr>
        <w:autoSpaceDE w:val="0"/>
        <w:autoSpaceDN w:val="0"/>
        <w:adjustRightInd w:val="0"/>
        <w:rPr>
          <w:rFonts w:hint="default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3、跨部门沟通主要方式：有效的会议</w:t>
      </w:r>
    </w:p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/>
          <w:b/>
          <w:sz w:val="28"/>
        </w:rPr>
      </w:pPr>
      <w:r>
        <w:rPr>
          <w:rFonts w:hint="default" w:ascii="仿宋" w:hAnsi="仿宋" w:eastAsia="仿宋"/>
          <w:b/>
          <w:sz w:val="28"/>
        </w:rPr>
        <w:t xml:space="preserve">Moment-4正念引导 </w:t>
      </w:r>
      <w:r>
        <w:rPr>
          <w:rFonts w:hint="eastAsia" w:ascii="仿宋" w:hAnsi="仿宋" w:eastAsia="仿宋"/>
          <w:b/>
          <w:sz w:val="28"/>
          <w:lang w:val="en-US" w:eastAsia="zh-Hans"/>
        </w:rPr>
        <w:t>增进凝聚</w:t>
      </w:r>
    </w:p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  <w:lang w:val="en-US" w:eastAsia="zh-Hans"/>
        </w:rPr>
        <w:t>增进</w:t>
      </w:r>
      <w:r>
        <w:rPr>
          <w:rFonts w:hint="default" w:ascii="仿宋" w:hAnsi="仿宋" w:eastAsia="仿宋"/>
          <w:b/>
          <w:sz w:val="28"/>
        </w:rPr>
        <w:t>团队</w:t>
      </w:r>
      <w:r>
        <w:rPr>
          <w:rFonts w:hint="eastAsia" w:ascii="仿宋" w:hAnsi="仿宋" w:eastAsia="仿宋"/>
          <w:b/>
          <w:sz w:val="28"/>
          <w:lang w:val="en-US" w:eastAsia="zh-Hans"/>
        </w:rPr>
        <w:t>凝聚力</w:t>
      </w:r>
      <w:r>
        <w:rPr>
          <w:rFonts w:hint="default" w:ascii="仿宋" w:hAnsi="仿宋" w:eastAsia="仿宋"/>
          <w:b/>
          <w:sz w:val="28"/>
        </w:rPr>
        <w:t>的切入点</w:t>
      </w:r>
    </w:p>
    <w:p>
      <w:pPr>
        <w:autoSpaceDE w:val="0"/>
        <w:autoSpaceDN w:val="0"/>
        <w:adjustRightInd w:val="0"/>
        <w:rPr>
          <w:rFonts w:hint="default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24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Hans"/>
        </w:rPr>
        <w:t>微拓展</w:t>
      </w:r>
      <w:r>
        <w:rPr>
          <w:rFonts w:hint="default" w:ascii="仿宋_GB2312" w:hAnsi="仿宋_GB2312" w:eastAsia="仿宋_GB2312" w:cs="仿宋_GB2312"/>
          <w:color w:val="000000"/>
          <w:kern w:val="0"/>
          <w:sz w:val="24"/>
          <w:lang w:eastAsia="zh-Hans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齐眉棍</w:t>
      </w:r>
      <w:r>
        <w:rPr>
          <w:rFonts w:hint="default" w:ascii="仿宋_GB2312" w:hAnsi="仿宋_GB2312" w:eastAsia="仿宋_GB2312" w:cs="仿宋_GB2312"/>
          <w:color w:val="000000"/>
          <w:kern w:val="0"/>
          <w:sz w:val="24"/>
        </w:rPr>
        <w:t>）</w:t>
      </w:r>
    </w:p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/>
          <w:b/>
          <w:sz w:val="28"/>
          <w:lang w:val="en-US" w:eastAsia="zh-Hans"/>
        </w:rPr>
      </w:pPr>
      <w:r>
        <w:rPr>
          <w:rFonts w:hint="eastAsia" w:ascii="仿宋" w:hAnsi="仿宋" w:eastAsia="仿宋"/>
          <w:b/>
          <w:sz w:val="28"/>
          <w:lang w:val="en-US" w:eastAsia="zh-Hans"/>
        </w:rPr>
        <w:t>增进</w:t>
      </w:r>
      <w:r>
        <w:rPr>
          <w:rFonts w:hint="default" w:ascii="仿宋" w:hAnsi="仿宋" w:eastAsia="仿宋"/>
          <w:b/>
          <w:sz w:val="28"/>
        </w:rPr>
        <w:t>团队</w:t>
      </w:r>
      <w:r>
        <w:rPr>
          <w:rFonts w:hint="eastAsia" w:ascii="仿宋" w:hAnsi="仿宋" w:eastAsia="仿宋"/>
          <w:b/>
          <w:sz w:val="28"/>
          <w:lang w:val="en-US" w:eastAsia="zh-Hans"/>
        </w:rPr>
        <w:t>凝聚力的方法</w:t>
      </w:r>
    </w:p>
    <w:p>
      <w:pPr>
        <w:autoSpaceDE w:val="0"/>
        <w:autoSpaceDN w:val="0"/>
        <w:adjustRightInd w:val="0"/>
        <w:rPr>
          <w:rFonts w:hint="default"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default" w:ascii="仿宋_GB2312" w:hAnsi="仿宋_GB2312" w:eastAsia="仿宋_GB2312" w:cs="仿宋_GB2312"/>
          <w:color w:val="000000"/>
          <w:kern w:val="0"/>
          <w:sz w:val="24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Hans"/>
        </w:rPr>
        <w:t>微促动</w:t>
      </w:r>
      <w:r>
        <w:rPr>
          <w:rFonts w:hint="default" w:ascii="仿宋_GB2312" w:hAnsi="仿宋_GB2312" w:eastAsia="仿宋_GB2312" w:cs="仿宋_GB2312"/>
          <w:color w:val="000000"/>
          <w:kern w:val="0"/>
          <w:sz w:val="24"/>
          <w:lang w:eastAsia="zh-Hans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Hans"/>
        </w:rPr>
        <w:t>发散与收敛</w:t>
      </w:r>
      <w:r>
        <w:rPr>
          <w:rFonts w:hint="default" w:ascii="仿宋_GB2312" w:hAnsi="仿宋_GB2312" w:eastAsia="仿宋_GB2312" w:cs="仿宋_GB2312"/>
          <w:color w:val="000000"/>
          <w:kern w:val="0"/>
          <w:sz w:val="24"/>
        </w:rPr>
        <w:t>）</w:t>
      </w:r>
    </w:p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/>
          <w:b/>
          <w:sz w:val="28"/>
        </w:rPr>
      </w:pPr>
      <w:r>
        <w:rPr>
          <w:rFonts w:hint="default" w:ascii="仿宋" w:hAnsi="仿宋" w:eastAsia="仿宋"/>
          <w:b/>
          <w:sz w:val="28"/>
        </w:rPr>
        <w:t>Moment-5复盘结果 优化流程</w:t>
      </w:r>
    </w:p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/>
          <w:b/>
          <w:sz w:val="28"/>
        </w:rPr>
      </w:pPr>
      <w:r>
        <w:rPr>
          <w:rFonts w:hint="default" w:ascii="仿宋" w:hAnsi="仿宋" w:eastAsia="仿宋"/>
          <w:b/>
          <w:sz w:val="28"/>
        </w:rPr>
        <w:t>重新定义经营模拟沙盘运营流程</w:t>
      </w:r>
    </w:p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/>
          <w:b/>
          <w:sz w:val="28"/>
        </w:rPr>
      </w:pPr>
      <w:r>
        <w:rPr>
          <w:rFonts w:hint="default" w:ascii="仿宋" w:hAnsi="仿宋" w:eastAsia="仿宋"/>
          <w:b/>
          <w:sz w:val="28"/>
        </w:rPr>
        <w:t>用“轻世界咖啡”开拓认知边界</w:t>
      </w:r>
    </w:p>
    <w:p>
      <w:pPr>
        <w:numPr>
          <w:ilvl w:val="0"/>
          <w:numId w:val="0"/>
        </w:numPr>
        <w:spacing w:line="360" w:lineRule="auto"/>
        <w:rPr>
          <w:rFonts w:hint="default" w:ascii="仿宋" w:hAnsi="仿宋" w:eastAsia="仿宋"/>
          <w:b/>
          <w:sz w:val="28"/>
        </w:rPr>
      </w:pPr>
      <w:r>
        <w:rPr>
          <w:rFonts w:hint="default" w:ascii="仿宋" w:hAnsi="仿宋" w:eastAsia="仿宋"/>
          <w:b/>
          <w:sz w:val="28"/>
        </w:rPr>
        <w:t>课程总结与回顾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Microsoft YaHei">
    <w:altName w:val="汉仪旗黑"/>
    <w:panose1 w:val="020B0503020204020204"/>
    <w:charset w:val="00"/>
    <w:family w:val="auto"/>
    <w:pitch w:val="default"/>
    <w:sig w:usb0="00000000" w:usb1="00000000" w:usb2="00000016" w:usb3="00000000" w:csb0="0004001F" w:csb1="00000000"/>
  </w:font>
  <w:font w:name="等线 Light">
    <w:altName w:val="汉仪中等线KW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方正仿宋_GBK"/>
    <w:panose1 w:val="00000000000000000000"/>
    <w:charset w:val="00"/>
    <w:family w:val="modern"/>
    <w:pitch w:val="default"/>
    <w:sig w:usb0="00000000" w:usb1="00000000" w:usb2="00000000" w:usb3="00000000" w:csb0="00040000" w:csb1="00000000"/>
  </w:font>
  <w:font w:name="华文中宋">
    <w:altName w:val="苹方-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黑体">
    <w:altName w:val="汉仪中黑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Helvetica">
    <w:panose1 w:val="00000000000000000000"/>
    <w:charset w:val="00"/>
    <w:family w:val="swiss"/>
    <w:pitch w:val="default"/>
    <w:sig w:usb0="E00002FF" w:usb1="5000785B" w:usb2="00000000" w:usb3="00000000" w:csb0="2000019F" w:csb1="4F010000"/>
  </w:font>
  <w:font w:name="Courier">
    <w:altName w:val="苹方-简"/>
    <w:panose1 w:val="00000000000000000000"/>
    <w:charset w:val="00"/>
    <w:family w:val="auto"/>
    <w:pitch w:val="default"/>
    <w:sig w:usb0="00000000" w:usb1="00000000" w:usb2="00000000" w:usb3="00000000" w:csb0="00000003" w:csb1="00000000"/>
  </w:font>
  <w:font w:name="华文仿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Apple Chancery">
    <w:panose1 w:val="03020702040506060504"/>
    <w:charset w:val="00"/>
    <w:family w:val="auto"/>
    <w:pitch w:val="default"/>
    <w:sig w:usb0="80000067" w:usb1="00000003" w:usb2="00000000" w:usb3="00000000" w:csb0="200001F3" w:csb1="CDFC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swiss"/>
    <w:pitch w:val="default"/>
    <w:sig w:usb0="A00002FF" w:usb1="7ACFFDFB" w:usb2="00000017" w:usb3="00000000" w:csb0="00040001" w:csb1="00000000"/>
  </w:font>
  <w:font w:name="方正鲁迅行书 简">
    <w:panose1 w:val="020005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AE7CC8B"/>
    <w:rsid w:val="16C7ED96"/>
    <w:rsid w:val="9667084F"/>
    <w:rsid w:val="DAE7C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Office_3.4.2.5348_F1E327BC-269C-435d-A152-05C5408002CA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2020-02-15T09:30:00Z</dcterms:created>
  <dc:creator>wanshenglan</dc:creator>
  <cp:lastModifiedBy>wanshenglan</cp:lastModifiedBy>
  <dcterms:modified xsi:type="dcterms:W3CDTF">2021-05-08T22:35:14Z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2052-3.4.2.5348</vt:lpwstr>
  </property>
</Properties>
</file>