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3019" w:rsidRDefault="00881341">
      <w:pPr>
        <w:jc w:val="center"/>
        <w:rPr>
          <w:rFonts w:ascii="微软雅黑" w:eastAsia="微软雅黑" w:hAnsi="微软雅黑" w:cs="微软雅黑"/>
          <w:b/>
          <w:bCs/>
          <w:sz w:val="32"/>
          <w:szCs w:val="40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40"/>
        </w:rPr>
        <w:t>《</w:t>
      </w:r>
      <w:r w:rsidR="00572621">
        <w:rPr>
          <w:rFonts w:ascii="微软雅黑" w:eastAsia="微软雅黑" w:hAnsi="微软雅黑" w:cs="微软雅黑" w:hint="eastAsia"/>
          <w:b/>
          <w:bCs/>
          <w:sz w:val="32"/>
          <w:szCs w:val="40"/>
        </w:rPr>
        <w:t>营销方案的撰写</w:t>
      </w:r>
      <w:r>
        <w:rPr>
          <w:rFonts w:ascii="微软雅黑" w:eastAsia="微软雅黑" w:hAnsi="微软雅黑" w:cs="微软雅黑" w:hint="eastAsia"/>
          <w:b/>
          <w:bCs/>
          <w:sz w:val="32"/>
          <w:szCs w:val="40"/>
        </w:rPr>
        <w:t>》课程大纲</w:t>
      </w:r>
    </w:p>
    <w:p w:rsidR="004A3019" w:rsidRDefault="00881341">
      <w:pPr>
        <w:rPr>
          <w:rFonts w:ascii="微软雅黑" w:eastAsia="微软雅黑" w:hAnsi="微软雅黑" w:hint="eastAsia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【课程主题】：</w:t>
      </w:r>
      <w:r w:rsidR="00514960">
        <w:rPr>
          <w:rFonts w:ascii="微软雅黑" w:eastAsia="微软雅黑" w:hAnsi="微软雅黑" w:hint="eastAsia"/>
          <w:color w:val="000000"/>
          <w:sz w:val="22"/>
        </w:rPr>
        <w:t>营销方案的撰写</w:t>
      </w:r>
    </w:p>
    <w:p w:rsidR="004A3019" w:rsidRDefault="00881341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【培训时间】：</w:t>
      </w:r>
      <w:r>
        <w:rPr>
          <w:rFonts w:ascii="微软雅黑" w:eastAsia="微软雅黑" w:hAnsi="微软雅黑"/>
          <w:color w:val="000000"/>
          <w:sz w:val="22"/>
        </w:rPr>
        <w:t>2</w:t>
      </w:r>
      <w:r>
        <w:rPr>
          <w:rFonts w:ascii="微软雅黑" w:eastAsia="微软雅黑" w:hAnsi="微软雅黑" w:hint="eastAsia"/>
          <w:color w:val="000000"/>
          <w:sz w:val="22"/>
        </w:rPr>
        <w:t>天</w:t>
      </w:r>
    </w:p>
    <w:p w:rsidR="004A3019" w:rsidRDefault="00881341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【培训对象】：市场部、企划部、营销部中基层管理人员</w:t>
      </w:r>
    </w:p>
    <w:p w:rsidR="004A3019" w:rsidRDefault="00881341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【培训方式】</w:t>
      </w:r>
    </w:p>
    <w:p w:rsidR="004A3019" w:rsidRDefault="00881341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生动授课、多</w:t>
      </w:r>
      <w:bookmarkStart w:id="0" w:name="_GoBack"/>
      <w:bookmarkEnd w:id="0"/>
      <w:r>
        <w:rPr>
          <w:rFonts w:ascii="微软雅黑" w:eastAsia="微软雅黑" w:hAnsi="微软雅黑" w:hint="eastAsia"/>
          <w:color w:val="000000"/>
          <w:sz w:val="22"/>
        </w:rPr>
        <w:t>媒体演示、个体实训、角色扮演、互动交流等使培训效果达到最好！</w:t>
      </w:r>
    </w:p>
    <w:p w:rsidR="004A3019" w:rsidRDefault="00881341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【</w:t>
      </w:r>
      <w:r>
        <w:rPr>
          <w:rFonts w:ascii="微软雅黑" w:eastAsia="微软雅黑" w:hAnsi="微软雅黑"/>
          <w:color w:val="000000"/>
          <w:sz w:val="22"/>
        </w:rPr>
        <w:t>教学目的</w:t>
      </w:r>
      <w:r>
        <w:rPr>
          <w:rFonts w:ascii="微软雅黑" w:eastAsia="微软雅黑" w:hAnsi="微软雅黑" w:hint="eastAsia"/>
          <w:color w:val="000000"/>
          <w:sz w:val="22"/>
        </w:rPr>
        <w:t>】</w:t>
      </w:r>
    </w:p>
    <w:p w:rsidR="004A3019" w:rsidRDefault="00881341">
      <w:pPr>
        <w:pStyle w:val="a3"/>
        <w:spacing w:before="75" w:beforeAutospacing="0" w:after="75" w:afterAutospacing="0" w:line="315" w:lineRule="atLeast"/>
        <w:rPr>
          <w:rFonts w:ascii="sans-serif" w:eastAsia="sans-serif" w:hAnsi="sans-serif" w:cs="sans-serif"/>
          <w:color w:val="000000"/>
        </w:rPr>
      </w:pPr>
      <w:r>
        <w:rPr>
          <w:rFonts w:ascii="微软雅黑" w:eastAsia="微软雅黑" w:hAnsi="微软雅黑" w:cs="微软雅黑"/>
          <w:color w:val="000000"/>
          <w:sz w:val="22"/>
          <w:szCs w:val="22"/>
        </w:rPr>
        <w:t>1.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 xml:space="preserve">学习掌握营销活动策划的基本思维模型和基本构建因素； 　</w:t>
      </w:r>
    </w:p>
    <w:p w:rsidR="004A3019" w:rsidRDefault="00881341">
      <w:pPr>
        <w:pStyle w:val="a3"/>
        <w:spacing w:before="75" w:beforeAutospacing="0" w:after="75" w:afterAutospacing="0" w:line="315" w:lineRule="atLeast"/>
        <w:rPr>
          <w:rFonts w:ascii="sans-serif" w:eastAsia="sans-serif" w:hAnsi="sans-serif" w:cs="sans-serif"/>
          <w:color w:val="000000"/>
        </w:rPr>
      </w:pP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 xml:space="preserve">2.正确认知营销活动策划中，产品、渠道、市场、消费者之间的关系，并在活动方案中灵活使用； 　</w:t>
      </w:r>
    </w:p>
    <w:p w:rsidR="004A3019" w:rsidRDefault="00881341">
      <w:pPr>
        <w:pStyle w:val="a3"/>
        <w:spacing w:before="75" w:beforeAutospacing="0" w:after="75" w:afterAutospacing="0" w:line="315" w:lineRule="atLeast"/>
        <w:rPr>
          <w:rFonts w:ascii="微软雅黑" w:eastAsia="微软雅黑" w:hAnsi="微软雅黑" w:cs="微软雅黑"/>
          <w:color w:val="000000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3.掌握常用的</w:t>
      </w:r>
      <w:r w:rsidR="00572621">
        <w:rPr>
          <w:rFonts w:ascii="微软雅黑" w:eastAsia="微软雅黑" w:hAnsi="微软雅黑" w:cs="微软雅黑" w:hint="eastAsia"/>
          <w:color w:val="000000"/>
          <w:sz w:val="22"/>
          <w:szCs w:val="22"/>
        </w:rPr>
        <w:t>营销方案的撰写方法，学会构架营销方案的框架，掌握营销方案内容填充的资料收集办法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；</w:t>
      </w:r>
    </w:p>
    <w:p w:rsidR="004A3019" w:rsidRDefault="00881341">
      <w:pPr>
        <w:pStyle w:val="a3"/>
        <w:spacing w:before="75" w:beforeAutospacing="0" w:after="75" w:afterAutospacing="0" w:line="315" w:lineRule="atLeast"/>
        <w:rPr>
          <w:rFonts w:ascii="微软雅黑" w:eastAsia="微软雅黑" w:hAnsi="微软雅黑" w:cs="微软雅黑"/>
          <w:color w:val="000000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4</w:t>
      </w:r>
      <w:r>
        <w:rPr>
          <w:rFonts w:ascii="微软雅黑" w:eastAsia="微软雅黑" w:hAnsi="微软雅黑" w:cs="微软雅黑"/>
          <w:color w:val="000000"/>
          <w:sz w:val="22"/>
          <w:szCs w:val="22"/>
        </w:rPr>
        <w:t>.</w:t>
      </w:r>
      <w:r>
        <w:rPr>
          <w:rFonts w:ascii="Times New Roman" w:eastAsia="微软雅黑" w:hAnsi="Times New Roman" w:cs="Times New Roman"/>
          <w:color w:val="000000"/>
          <w:sz w:val="13"/>
          <w:szCs w:val="13"/>
        </w:rPr>
        <w:t> </w:t>
      </w:r>
      <w:r>
        <w:rPr>
          <w:rFonts w:ascii="Times New Roman" w:eastAsia="微软雅黑" w:hAnsi="Times New Roman" w:cs="Times New Roman"/>
          <w:color w:val="000000"/>
          <w:sz w:val="22"/>
          <w:szCs w:val="22"/>
        </w:rPr>
        <w:t>优秀终端营销活动方案赏析并能顺利完成营销活动方案的撰写</w:t>
      </w:r>
      <w:r>
        <w:rPr>
          <w:rFonts w:ascii="微软雅黑" w:eastAsia="微软雅黑" w:hAnsi="微软雅黑" w:cs="微软雅黑" w:hint="eastAsia"/>
          <w:color w:val="000000"/>
          <w:sz w:val="21"/>
          <w:szCs w:val="21"/>
        </w:rPr>
        <w:t>；</w:t>
      </w:r>
    </w:p>
    <w:p w:rsidR="004A3019" w:rsidRDefault="004A3019">
      <w:pPr>
        <w:pStyle w:val="a3"/>
        <w:spacing w:before="75" w:beforeAutospacing="0" w:after="75" w:afterAutospacing="0" w:line="315" w:lineRule="atLeast"/>
        <w:rPr>
          <w:rFonts w:ascii="微软雅黑" w:eastAsia="微软雅黑" w:hAnsi="微软雅黑" w:cs="微软雅黑"/>
          <w:color w:val="000000"/>
          <w:sz w:val="21"/>
          <w:szCs w:val="21"/>
        </w:rPr>
      </w:pP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【课程大纲】：</w:t>
      </w:r>
    </w:p>
    <w:p w:rsidR="004A3019" w:rsidRDefault="00881341">
      <w:pPr>
        <w:numPr>
          <w:ilvl w:val="0"/>
          <w:numId w:val="1"/>
        </w:numPr>
        <w:rPr>
          <w:rFonts w:ascii="微软雅黑" w:eastAsia="微软雅黑" w:hAnsi="微软雅黑" w:cs="微软雅黑"/>
          <w:b/>
          <w:bCs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营销活动策划的八个维度因素</w:t>
      </w:r>
    </w:p>
    <w:p w:rsidR="004A3019" w:rsidRDefault="00881341">
      <w:pPr>
        <w:numPr>
          <w:ilvl w:val="0"/>
          <w:numId w:val="2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目标因素</w:t>
      </w:r>
    </w:p>
    <w:p w:rsidR="004A3019" w:rsidRDefault="00881341">
      <w:pPr>
        <w:numPr>
          <w:ilvl w:val="0"/>
          <w:numId w:val="2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策略因素</w:t>
      </w:r>
    </w:p>
    <w:p w:rsidR="004A3019" w:rsidRDefault="00881341">
      <w:pPr>
        <w:numPr>
          <w:ilvl w:val="0"/>
          <w:numId w:val="2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产品因素</w:t>
      </w:r>
    </w:p>
    <w:p w:rsidR="004A3019" w:rsidRDefault="00881341">
      <w:pPr>
        <w:numPr>
          <w:ilvl w:val="0"/>
          <w:numId w:val="2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市场因素</w:t>
      </w:r>
    </w:p>
    <w:p w:rsidR="004A3019" w:rsidRDefault="00881341">
      <w:pPr>
        <w:numPr>
          <w:ilvl w:val="0"/>
          <w:numId w:val="2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投资因素</w:t>
      </w:r>
    </w:p>
    <w:p w:rsidR="004A3019" w:rsidRDefault="00881341">
      <w:pPr>
        <w:numPr>
          <w:ilvl w:val="0"/>
          <w:numId w:val="2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lastRenderedPageBreak/>
        <w:t>管理因素</w:t>
      </w:r>
    </w:p>
    <w:p w:rsidR="004A3019" w:rsidRDefault="00881341">
      <w:pPr>
        <w:numPr>
          <w:ilvl w:val="0"/>
          <w:numId w:val="2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时机因素</w:t>
      </w:r>
    </w:p>
    <w:p w:rsidR="004A3019" w:rsidRDefault="00881341">
      <w:pPr>
        <w:numPr>
          <w:ilvl w:val="0"/>
          <w:numId w:val="2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渠道因素</w:t>
      </w:r>
    </w:p>
    <w:p w:rsidR="004A3019" w:rsidRDefault="00881341">
      <w:pPr>
        <w:numPr>
          <w:ilvl w:val="0"/>
          <w:numId w:val="3"/>
        </w:numPr>
        <w:rPr>
          <w:rFonts w:ascii="微软雅黑" w:eastAsia="微软雅黑" w:hAnsi="微软雅黑" w:cs="微软雅黑"/>
          <w:b/>
          <w:bCs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营销活动策划的步骤与内容</w:t>
      </w:r>
    </w:p>
    <w:p w:rsidR="004A3019" w:rsidRDefault="00881341">
      <w:pPr>
        <w:numPr>
          <w:ilvl w:val="0"/>
          <w:numId w:val="4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营销活动策划的思维模型</w:t>
      </w:r>
    </w:p>
    <w:p w:rsidR="004A3019" w:rsidRDefault="00881341">
      <w:pPr>
        <w:numPr>
          <w:ilvl w:val="0"/>
          <w:numId w:val="4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营销活动策划的六大步骤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1）建立目标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2）选择工具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3）制订方案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4）方案预估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5）执行与控制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6）评估成效</w:t>
      </w:r>
    </w:p>
    <w:p w:rsidR="004A3019" w:rsidRDefault="00881341">
      <w:pPr>
        <w:numPr>
          <w:ilvl w:val="0"/>
          <w:numId w:val="4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营销活动策划的内容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1）活动目标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2）活动对象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3）活动时间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4）活动产品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5）活动方式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6）活动口号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7）活动的日程行动控制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8）活动规模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9）奖惩考核制度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/>
          <w:sz w:val="22"/>
          <w:szCs w:val="28"/>
        </w:rPr>
        <w:lastRenderedPageBreak/>
        <w:t>【案例分析】优秀营销案例赏析</w:t>
      </w:r>
    </w:p>
    <w:p w:rsidR="004A3019" w:rsidRDefault="00881341" w:rsidP="00881341">
      <w:pPr>
        <w:rPr>
          <w:rFonts w:ascii="微软雅黑" w:eastAsia="微软雅黑" w:hAnsi="微软雅黑" w:cs="微软雅黑"/>
          <w:b/>
          <w:bCs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三、针对不同对象的营销活动策划</w:t>
      </w:r>
    </w:p>
    <w:p w:rsidR="004A3019" w:rsidRDefault="00881341">
      <w:pPr>
        <w:numPr>
          <w:ilvl w:val="0"/>
          <w:numId w:val="8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针对消费者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1）免费派送/免费试用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2）优惠促销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3）赠品促销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4）价格促销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/>
          <w:sz w:val="22"/>
          <w:szCs w:val="28"/>
        </w:rPr>
        <w:t>【案例分析】终端营销案例解析</w:t>
      </w:r>
    </w:p>
    <w:p w:rsidR="004A3019" w:rsidRDefault="00881341">
      <w:pPr>
        <w:numPr>
          <w:ilvl w:val="0"/>
          <w:numId w:val="8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针对渠道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1）合作广告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2）渠道竞赛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3）渠道培训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4）商业折扣</w:t>
      </w:r>
    </w:p>
    <w:p w:rsidR="004A3019" w:rsidRPr="00572621" w:rsidRDefault="00881341" w:rsidP="00572621">
      <w:pPr>
        <w:pStyle w:val="a5"/>
        <w:numPr>
          <w:ilvl w:val="0"/>
          <w:numId w:val="12"/>
        </w:numPr>
        <w:ind w:firstLineChars="0"/>
        <w:rPr>
          <w:rFonts w:ascii="微软雅黑" w:eastAsia="微软雅黑" w:hAnsi="微软雅黑" w:cs="微软雅黑"/>
          <w:sz w:val="22"/>
          <w:szCs w:val="28"/>
        </w:rPr>
      </w:pPr>
      <w:r w:rsidRPr="00572621">
        <w:rPr>
          <w:rFonts w:ascii="微软雅黑" w:eastAsia="微软雅黑" w:hAnsi="微软雅黑" w:cs="微软雅黑" w:hint="eastAsia"/>
          <w:sz w:val="22"/>
          <w:szCs w:val="28"/>
        </w:rPr>
        <w:t>业务会议</w:t>
      </w:r>
    </w:p>
    <w:p w:rsidR="004A3019" w:rsidRDefault="00881341" w:rsidP="00572621">
      <w:pPr>
        <w:rPr>
          <w:rFonts w:ascii="微软雅黑" w:eastAsia="微软雅黑" w:hAnsi="微软雅黑" w:cs="微软雅黑"/>
          <w:b/>
          <w:bCs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四</w:t>
      </w:r>
      <w:r w:rsidR="00572621">
        <w:rPr>
          <w:rFonts w:ascii="微软雅黑" w:eastAsia="微软雅黑" w:hAnsi="微软雅黑" w:cs="微软雅黑" w:hint="eastAsia"/>
          <w:b/>
          <w:bCs/>
          <w:sz w:val="22"/>
          <w:szCs w:val="28"/>
        </w:rPr>
        <w:t>、营销</w:t>
      </w: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策划书撰写方法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1、策划书撰写思维基础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1</w:t>
      </w:r>
      <w:r>
        <w:rPr>
          <w:rFonts w:ascii="微软雅黑" w:eastAsia="微软雅黑" w:hAnsi="微软雅黑" w:cs="微软雅黑" w:hint="eastAsia"/>
          <w:sz w:val="22"/>
          <w:szCs w:val="28"/>
        </w:rPr>
        <w:t>）以终为始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2</w:t>
      </w:r>
      <w:r>
        <w:rPr>
          <w:rFonts w:ascii="微软雅黑" w:eastAsia="微软雅黑" w:hAnsi="微软雅黑" w:cs="微软雅黑" w:hint="eastAsia"/>
          <w:sz w:val="22"/>
          <w:szCs w:val="28"/>
        </w:rPr>
        <w:t>）结构分明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3</w:t>
      </w:r>
      <w:r>
        <w:rPr>
          <w:rFonts w:ascii="微软雅黑" w:eastAsia="微软雅黑" w:hAnsi="微软雅黑" w:cs="微软雅黑" w:hint="eastAsia"/>
          <w:sz w:val="22"/>
          <w:szCs w:val="28"/>
        </w:rPr>
        <w:t>）内容务实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2、策划书结构设计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1</w:t>
      </w:r>
      <w:r>
        <w:rPr>
          <w:rFonts w:ascii="微软雅黑" w:eastAsia="微软雅黑" w:hAnsi="微软雅黑" w:cs="微软雅黑" w:hint="eastAsia"/>
          <w:sz w:val="22"/>
          <w:szCs w:val="28"/>
        </w:rPr>
        <w:t>）5</w:t>
      </w:r>
      <w:r>
        <w:rPr>
          <w:rFonts w:ascii="微软雅黑" w:eastAsia="微软雅黑" w:hAnsi="微软雅黑" w:cs="微软雅黑"/>
          <w:sz w:val="22"/>
          <w:szCs w:val="28"/>
        </w:rPr>
        <w:t>W</w:t>
      </w:r>
      <w:r>
        <w:rPr>
          <w:rFonts w:ascii="微软雅黑" w:eastAsia="微软雅黑" w:hAnsi="微软雅黑" w:cs="微软雅黑" w:hint="eastAsia"/>
          <w:sz w:val="22"/>
          <w:szCs w:val="28"/>
        </w:rPr>
        <w:t>2</w:t>
      </w:r>
      <w:r>
        <w:rPr>
          <w:rFonts w:ascii="微软雅黑" w:eastAsia="微软雅黑" w:hAnsi="微软雅黑" w:cs="微软雅黑"/>
          <w:sz w:val="22"/>
          <w:szCs w:val="28"/>
        </w:rPr>
        <w:t>H</w:t>
      </w:r>
      <w:r>
        <w:rPr>
          <w:rFonts w:ascii="微软雅黑" w:eastAsia="微软雅黑" w:hAnsi="微软雅黑" w:cs="微软雅黑" w:hint="eastAsia"/>
          <w:sz w:val="22"/>
          <w:szCs w:val="28"/>
        </w:rPr>
        <w:t>结构模型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2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>
        <w:rPr>
          <w:rFonts w:ascii="微软雅黑" w:eastAsia="微软雅黑" w:hAnsi="微软雅黑" w:cs="微软雅黑"/>
          <w:sz w:val="22"/>
          <w:szCs w:val="28"/>
        </w:rPr>
        <w:t>PRM</w:t>
      </w:r>
      <w:r>
        <w:rPr>
          <w:rFonts w:ascii="微软雅黑" w:eastAsia="微软雅黑" w:hAnsi="微软雅黑" w:cs="微软雅黑" w:hint="eastAsia"/>
          <w:sz w:val="22"/>
          <w:szCs w:val="28"/>
        </w:rPr>
        <w:t>结构模型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lastRenderedPageBreak/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3</w:t>
      </w:r>
      <w:r>
        <w:rPr>
          <w:rFonts w:ascii="微软雅黑" w:eastAsia="微软雅黑" w:hAnsi="微软雅黑" w:cs="微软雅黑" w:hint="eastAsia"/>
          <w:sz w:val="22"/>
          <w:szCs w:val="28"/>
        </w:rPr>
        <w:t>）关键词法则结构模型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3、策划书的序言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1</w:t>
      </w:r>
      <w:r>
        <w:rPr>
          <w:rFonts w:ascii="微软雅黑" w:eastAsia="微软雅黑" w:hAnsi="微软雅黑" w:cs="微软雅黑" w:hint="eastAsia"/>
          <w:sz w:val="22"/>
          <w:szCs w:val="28"/>
        </w:rPr>
        <w:t>）开门见山型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2</w:t>
      </w:r>
      <w:r>
        <w:rPr>
          <w:rFonts w:ascii="微软雅黑" w:eastAsia="微软雅黑" w:hAnsi="微软雅黑" w:cs="微软雅黑" w:hint="eastAsia"/>
          <w:sz w:val="22"/>
          <w:szCs w:val="28"/>
        </w:rPr>
        <w:t>）突出问题型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4、策划书的信息取舍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1</w:t>
      </w:r>
      <w:r>
        <w:rPr>
          <w:rFonts w:ascii="微软雅黑" w:eastAsia="微软雅黑" w:hAnsi="微软雅黑" w:cs="微软雅黑" w:hint="eastAsia"/>
          <w:sz w:val="22"/>
          <w:szCs w:val="28"/>
        </w:rPr>
        <w:t>）策划书与执行案之间的区别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2</w:t>
      </w:r>
      <w:r>
        <w:rPr>
          <w:rFonts w:ascii="微软雅黑" w:eastAsia="微软雅黑" w:hAnsi="微软雅黑" w:cs="微软雅黑" w:hint="eastAsia"/>
          <w:sz w:val="22"/>
          <w:szCs w:val="28"/>
        </w:rPr>
        <w:t>）策划书的内容来源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3</w:t>
      </w:r>
      <w:r>
        <w:rPr>
          <w:rFonts w:ascii="微软雅黑" w:eastAsia="微软雅黑" w:hAnsi="微软雅黑" w:cs="微软雅黑" w:hint="eastAsia"/>
          <w:sz w:val="22"/>
          <w:szCs w:val="28"/>
        </w:rPr>
        <w:t>）关键指标撰写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5、策划书的</w:t>
      </w:r>
      <w:r w:rsidR="00572621">
        <w:rPr>
          <w:rFonts w:ascii="微软雅黑" w:eastAsia="微软雅黑" w:hAnsi="微软雅黑" w:cs="微软雅黑" w:hint="eastAsia"/>
          <w:sz w:val="22"/>
          <w:szCs w:val="28"/>
        </w:rPr>
        <w:t>表达优化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1</w:t>
      </w:r>
      <w:r>
        <w:rPr>
          <w:rFonts w:ascii="微软雅黑" w:eastAsia="微软雅黑" w:hAnsi="微软雅黑" w:cs="微软雅黑" w:hint="eastAsia"/>
          <w:sz w:val="22"/>
          <w:szCs w:val="28"/>
        </w:rPr>
        <w:t>）衡量表达是否有效的标准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2</w:t>
      </w:r>
      <w:r>
        <w:rPr>
          <w:rFonts w:ascii="微软雅黑" w:eastAsia="微软雅黑" w:hAnsi="微软雅黑" w:cs="微软雅黑" w:hint="eastAsia"/>
          <w:sz w:val="22"/>
          <w:szCs w:val="28"/>
        </w:rPr>
        <w:t>）如何确保表达的准确度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3</w:t>
      </w:r>
      <w:r>
        <w:rPr>
          <w:rFonts w:ascii="微软雅黑" w:eastAsia="微软雅黑" w:hAnsi="微软雅黑" w:cs="微软雅黑" w:hint="eastAsia"/>
          <w:sz w:val="22"/>
          <w:szCs w:val="28"/>
        </w:rPr>
        <w:t>）如何让策划书看起来更</w:t>
      </w:r>
      <w:r w:rsidR="00881341">
        <w:rPr>
          <w:rFonts w:ascii="微软雅黑" w:eastAsia="微软雅黑" w:hAnsi="微软雅黑" w:cs="微软雅黑" w:hint="eastAsia"/>
          <w:sz w:val="22"/>
          <w:szCs w:val="28"/>
        </w:rPr>
        <w:t>高大上</w:t>
      </w:r>
    </w:p>
    <w:p w:rsidR="004A3019" w:rsidRDefault="00881341">
      <w:pPr>
        <w:rPr>
          <w:rFonts w:ascii="微软雅黑" w:eastAsia="微软雅黑" w:hAnsi="微软雅黑" w:cs="微软雅黑"/>
          <w:b/>
          <w:bCs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五</w:t>
      </w:r>
      <w:r>
        <w:rPr>
          <w:rFonts w:ascii="微软雅黑" w:eastAsia="微软雅黑" w:hAnsi="微软雅黑" w:cs="微软雅黑"/>
          <w:b/>
          <w:bCs/>
          <w:sz w:val="22"/>
          <w:szCs w:val="28"/>
        </w:rPr>
        <w:t>、完成营销方案策划任务</w:t>
      </w:r>
    </w:p>
    <w:p w:rsidR="004A3019" w:rsidRDefault="00881341">
      <w:pPr>
        <w:rPr>
          <w:rFonts w:ascii="微软雅黑" w:eastAsia="微软雅黑" w:hAnsi="微软雅黑" w:cs="微软雅黑"/>
          <w:b/>
          <w:bCs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六</w:t>
      </w:r>
      <w:r>
        <w:rPr>
          <w:rFonts w:ascii="微软雅黑" w:eastAsia="微软雅黑" w:hAnsi="微软雅黑" w:cs="微软雅黑"/>
          <w:b/>
          <w:bCs/>
          <w:sz w:val="22"/>
          <w:szCs w:val="28"/>
        </w:rPr>
        <w:t>、团队共创完成既成营销方案的执行模拟</w:t>
      </w:r>
    </w:p>
    <w:sectPr w:rsidR="004A30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sans-serif">
    <w:altName w:val="微软雅黑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7D7F82"/>
    <w:multiLevelType w:val="hybridMultilevel"/>
    <w:tmpl w:val="5DEA47F6"/>
    <w:lvl w:ilvl="0" w:tplc="0E02C2B0">
      <w:start w:val="5"/>
      <w:numFmt w:val="decimal"/>
      <w:lvlText w:val="%1）"/>
      <w:lvlJc w:val="left"/>
      <w:pPr>
        <w:ind w:left="7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0" w:hanging="420"/>
      </w:pPr>
    </w:lvl>
    <w:lvl w:ilvl="2" w:tplc="0409001B" w:tentative="1">
      <w:start w:val="1"/>
      <w:numFmt w:val="lowerRoman"/>
      <w:lvlText w:val="%3."/>
      <w:lvlJc w:val="right"/>
      <w:pPr>
        <w:ind w:left="1600" w:hanging="420"/>
      </w:pPr>
    </w:lvl>
    <w:lvl w:ilvl="3" w:tplc="0409000F" w:tentative="1">
      <w:start w:val="1"/>
      <w:numFmt w:val="decimal"/>
      <w:lvlText w:val="%4."/>
      <w:lvlJc w:val="left"/>
      <w:pPr>
        <w:ind w:left="2020" w:hanging="420"/>
      </w:pPr>
    </w:lvl>
    <w:lvl w:ilvl="4" w:tplc="04090019" w:tentative="1">
      <w:start w:val="1"/>
      <w:numFmt w:val="lowerLetter"/>
      <w:lvlText w:val="%5)"/>
      <w:lvlJc w:val="left"/>
      <w:pPr>
        <w:ind w:left="2440" w:hanging="420"/>
      </w:pPr>
    </w:lvl>
    <w:lvl w:ilvl="5" w:tplc="0409001B" w:tentative="1">
      <w:start w:val="1"/>
      <w:numFmt w:val="lowerRoman"/>
      <w:lvlText w:val="%6."/>
      <w:lvlJc w:val="right"/>
      <w:pPr>
        <w:ind w:left="2860" w:hanging="420"/>
      </w:pPr>
    </w:lvl>
    <w:lvl w:ilvl="6" w:tplc="0409000F" w:tentative="1">
      <w:start w:val="1"/>
      <w:numFmt w:val="decimal"/>
      <w:lvlText w:val="%7."/>
      <w:lvlJc w:val="left"/>
      <w:pPr>
        <w:ind w:left="3280" w:hanging="420"/>
      </w:pPr>
    </w:lvl>
    <w:lvl w:ilvl="7" w:tplc="04090019" w:tentative="1">
      <w:start w:val="1"/>
      <w:numFmt w:val="lowerLetter"/>
      <w:lvlText w:val="%8)"/>
      <w:lvlJc w:val="left"/>
      <w:pPr>
        <w:ind w:left="3700" w:hanging="420"/>
      </w:pPr>
    </w:lvl>
    <w:lvl w:ilvl="8" w:tplc="0409001B" w:tentative="1">
      <w:start w:val="1"/>
      <w:numFmt w:val="lowerRoman"/>
      <w:lvlText w:val="%9."/>
      <w:lvlJc w:val="right"/>
      <w:pPr>
        <w:ind w:left="4120" w:hanging="420"/>
      </w:pPr>
    </w:lvl>
  </w:abstractNum>
  <w:abstractNum w:abstractNumId="1" w15:restartNumberingAfterBreak="0">
    <w:nsid w:val="5AF5502C"/>
    <w:multiLevelType w:val="singleLevel"/>
    <w:tmpl w:val="5AF5502C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5AF55048"/>
    <w:multiLevelType w:val="singleLevel"/>
    <w:tmpl w:val="5AF55048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5AF55099"/>
    <w:multiLevelType w:val="singleLevel"/>
    <w:tmpl w:val="5AF55099"/>
    <w:lvl w:ilvl="0">
      <w:start w:val="2"/>
      <w:numFmt w:val="chineseCounting"/>
      <w:suff w:val="nothing"/>
      <w:lvlText w:val="%1、"/>
      <w:lvlJc w:val="left"/>
    </w:lvl>
  </w:abstractNum>
  <w:abstractNum w:abstractNumId="4" w15:restartNumberingAfterBreak="0">
    <w:nsid w:val="5AF550BB"/>
    <w:multiLevelType w:val="singleLevel"/>
    <w:tmpl w:val="5AF550BB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5AF55205"/>
    <w:multiLevelType w:val="singleLevel"/>
    <w:tmpl w:val="5AF55205"/>
    <w:lvl w:ilvl="0">
      <w:start w:val="3"/>
      <w:numFmt w:val="chineseCounting"/>
      <w:suff w:val="nothing"/>
      <w:lvlText w:val="%1、"/>
      <w:lvlJc w:val="left"/>
    </w:lvl>
  </w:abstractNum>
  <w:abstractNum w:abstractNumId="6" w15:restartNumberingAfterBreak="0">
    <w:nsid w:val="5AF55267"/>
    <w:multiLevelType w:val="singleLevel"/>
    <w:tmpl w:val="5AF55267"/>
    <w:lvl w:ilvl="0">
      <w:start w:val="1"/>
      <w:numFmt w:val="decimal"/>
      <w:suff w:val="nothing"/>
      <w:lvlText w:val="%1、"/>
      <w:lvlJc w:val="left"/>
    </w:lvl>
  </w:abstractNum>
  <w:abstractNum w:abstractNumId="7" w15:restartNumberingAfterBreak="0">
    <w:nsid w:val="5AF553DA"/>
    <w:multiLevelType w:val="singleLevel"/>
    <w:tmpl w:val="5AF553DA"/>
    <w:lvl w:ilvl="0">
      <w:start w:val="4"/>
      <w:numFmt w:val="chineseCounting"/>
      <w:suff w:val="nothing"/>
      <w:lvlText w:val="%1、"/>
      <w:lvlJc w:val="left"/>
    </w:lvl>
  </w:abstractNum>
  <w:abstractNum w:abstractNumId="8" w15:restartNumberingAfterBreak="0">
    <w:nsid w:val="5AF553FE"/>
    <w:multiLevelType w:val="singleLevel"/>
    <w:tmpl w:val="5AF553FE"/>
    <w:lvl w:ilvl="0">
      <w:start w:val="1"/>
      <w:numFmt w:val="decimal"/>
      <w:suff w:val="nothing"/>
      <w:lvlText w:val="%1、"/>
      <w:lvlJc w:val="left"/>
    </w:lvl>
  </w:abstractNum>
  <w:abstractNum w:abstractNumId="9" w15:restartNumberingAfterBreak="0">
    <w:nsid w:val="5AF55539"/>
    <w:multiLevelType w:val="singleLevel"/>
    <w:tmpl w:val="5AF55539"/>
    <w:lvl w:ilvl="0">
      <w:start w:val="5"/>
      <w:numFmt w:val="chineseCounting"/>
      <w:suff w:val="nothing"/>
      <w:lvlText w:val="%1、"/>
      <w:lvlJc w:val="left"/>
    </w:lvl>
  </w:abstractNum>
  <w:abstractNum w:abstractNumId="10" w15:restartNumberingAfterBreak="0">
    <w:nsid w:val="5AF55551"/>
    <w:multiLevelType w:val="singleLevel"/>
    <w:tmpl w:val="5AF55551"/>
    <w:lvl w:ilvl="0">
      <w:start w:val="1"/>
      <w:numFmt w:val="decimal"/>
      <w:suff w:val="nothing"/>
      <w:lvlText w:val="%1、"/>
      <w:lvlJc w:val="left"/>
    </w:lvl>
  </w:abstractNum>
  <w:abstractNum w:abstractNumId="11" w15:restartNumberingAfterBreak="0">
    <w:nsid w:val="5AF555A1"/>
    <w:multiLevelType w:val="singleLevel"/>
    <w:tmpl w:val="5AF555A1"/>
    <w:lvl w:ilvl="0">
      <w:start w:val="6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3019"/>
    <w:rsid w:val="004A3019"/>
    <w:rsid w:val="00514960"/>
    <w:rsid w:val="00572621"/>
    <w:rsid w:val="00881341"/>
    <w:rsid w:val="310005BC"/>
    <w:rsid w:val="37C30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4899E1F"/>
  <w15:docId w15:val="{36EC6875-0641-4541-A378-A95046D11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List Paragraph"/>
    <w:basedOn w:val="a"/>
    <w:uiPriority w:val="99"/>
    <w:rsid w:val="005726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万 盛兰</cp:lastModifiedBy>
  <cp:revision>3</cp:revision>
  <dcterms:created xsi:type="dcterms:W3CDTF">2014-10-29T20:08:00Z</dcterms:created>
  <dcterms:modified xsi:type="dcterms:W3CDTF">2019-03-21T10:44:00Z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2052-1.2.6.548</vt:lpwstr>
  </property>
</Properties>
</file>