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553" w:rsidRPr="00A64796" w:rsidRDefault="009C4459" w:rsidP="00212FA4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9C4459">
        <w:rPr>
          <w:rFonts w:ascii="宋体" w:hAnsi="宋体" w:hint="eastAsia"/>
          <w:b/>
          <w:sz w:val="28"/>
          <w:szCs w:val="28"/>
        </w:rPr>
        <w:t>基于</w:t>
      </w:r>
      <w:r w:rsidR="002D6627">
        <w:rPr>
          <w:rFonts w:ascii="宋体" w:hAnsi="宋体" w:hint="eastAsia"/>
          <w:b/>
          <w:sz w:val="28"/>
          <w:szCs w:val="28"/>
        </w:rPr>
        <w:t>员工</w:t>
      </w:r>
      <w:r w:rsidRPr="009C4459">
        <w:rPr>
          <w:rFonts w:ascii="宋体" w:hAnsi="宋体"/>
          <w:b/>
          <w:sz w:val="28"/>
          <w:szCs w:val="28"/>
        </w:rPr>
        <w:t>能力的薪酬激励体系</w:t>
      </w:r>
      <w:r w:rsidR="002D6627">
        <w:rPr>
          <w:rFonts w:ascii="宋体" w:hAnsi="宋体" w:hint="eastAsia"/>
          <w:b/>
          <w:sz w:val="28"/>
          <w:szCs w:val="28"/>
        </w:rPr>
        <w:t>设计</w:t>
      </w:r>
      <w:r w:rsidR="00961553">
        <w:rPr>
          <w:rFonts w:ascii="宋体" w:hAnsi="宋体" w:hint="eastAsia"/>
          <w:b/>
          <w:sz w:val="28"/>
          <w:szCs w:val="28"/>
        </w:rPr>
        <w:t>培训</w:t>
      </w:r>
      <w:r w:rsidR="00961553">
        <w:rPr>
          <w:rFonts w:ascii="宋体" w:hAnsi="宋体"/>
          <w:b/>
          <w:sz w:val="28"/>
          <w:szCs w:val="28"/>
        </w:rPr>
        <w:t>大纲</w:t>
      </w:r>
    </w:p>
    <w:p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课程背景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:rsidR="00E77FEE" w:rsidRDefault="00E77FEE" w:rsidP="00E77FEE">
      <w:pPr>
        <w:snapToGrid w:val="0"/>
        <w:spacing w:line="440" w:lineRule="atLeast"/>
        <w:ind w:firstLineChars="200" w:firstLine="420"/>
        <w:jc w:val="left"/>
        <w:rPr>
          <w:rFonts w:ascii="宋体" w:hAnsi="宋体"/>
          <w:bCs/>
        </w:rPr>
      </w:pPr>
      <w:r w:rsidRPr="00E77FEE">
        <w:rPr>
          <w:rFonts w:ascii="宋体" w:hAnsi="宋体" w:hint="eastAsia"/>
          <w:bCs/>
        </w:rPr>
        <w:t>薪酬作为最重要的激励手段一直得到了企业和员工高度重视，但是也由于其高度的敏感性让人力资源工作者从“薪酬”发展到“心愁”，如果操作不当的话，还有可能成为“新仇”。企业无法让每个员工对薪酬感到满意的，这是必然（有谁会认为自己的工资高呢？），但至少要在企业里形成一套经得起推敲的薪酬体系，这是人力资源工作者的工作职责，我们力图通过课程为学员找到一种容易理解的方式，让学员能够根据企业的实际情况建立这样一套体系，完成自己的工作职责，这是我们的初衷，因此本课程更关注的是实际操作中的方式方法</w:t>
      </w:r>
      <w:r>
        <w:rPr>
          <w:rFonts w:ascii="宋体" w:hAnsi="宋体" w:hint="eastAsia"/>
          <w:bCs/>
        </w:rPr>
        <w:t>。</w:t>
      </w:r>
    </w:p>
    <w:p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课程收益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:rsidR="003A5232" w:rsidRPr="003A5232" w:rsidRDefault="003A5232" w:rsidP="004D7BDA">
      <w:pPr>
        <w:pStyle w:val="a4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 w:hint="eastAsia"/>
          <w:bCs/>
          <w:sz w:val="21"/>
          <w:szCs w:val="21"/>
        </w:rPr>
        <w:t>理解</w:t>
      </w:r>
      <w:r w:rsidRPr="003A5232">
        <w:rPr>
          <w:rFonts w:ascii="Times New Roman" w:hAnsi="Times New Roman" w:hint="eastAsia"/>
          <w:bCs/>
          <w:sz w:val="21"/>
          <w:szCs w:val="21"/>
        </w:rPr>
        <w:t>薪酬理念</w:t>
      </w:r>
    </w:p>
    <w:p w:rsidR="003A5232" w:rsidRPr="003A5232" w:rsidRDefault="003A5232" w:rsidP="004D7BDA">
      <w:pPr>
        <w:pStyle w:val="a4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 w:hint="eastAsia"/>
          <w:bCs/>
          <w:sz w:val="21"/>
          <w:szCs w:val="21"/>
        </w:rPr>
        <w:t>掌握</w:t>
      </w:r>
      <w:r w:rsidRPr="003A5232">
        <w:rPr>
          <w:rFonts w:ascii="Times New Roman" w:hAnsi="Times New Roman" w:hint="eastAsia"/>
          <w:bCs/>
          <w:sz w:val="21"/>
          <w:szCs w:val="21"/>
        </w:rPr>
        <w:t>薪酬操作步骤</w:t>
      </w:r>
    </w:p>
    <w:p w:rsidR="003A5232" w:rsidRPr="003A5232" w:rsidRDefault="003A5232" w:rsidP="004D7BDA">
      <w:pPr>
        <w:pStyle w:val="a4"/>
        <w:numPr>
          <w:ilvl w:val="0"/>
          <w:numId w:val="13"/>
        </w:numPr>
        <w:spacing w:line="276" w:lineRule="auto"/>
        <w:ind w:firstLineChars="0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 w:hint="eastAsia"/>
          <w:bCs/>
          <w:sz w:val="21"/>
          <w:szCs w:val="21"/>
        </w:rPr>
        <w:t>掌握</w:t>
      </w:r>
      <w:r w:rsidRPr="003A5232">
        <w:rPr>
          <w:rFonts w:ascii="Times New Roman" w:hAnsi="Times New Roman" w:hint="eastAsia"/>
          <w:bCs/>
          <w:sz w:val="21"/>
          <w:szCs w:val="21"/>
        </w:rPr>
        <w:t>薪酬操作关键环节</w:t>
      </w:r>
      <w:bookmarkStart w:id="0" w:name="_GoBack"/>
      <w:bookmarkEnd w:id="0"/>
    </w:p>
    <w:p w:rsidR="003A5232" w:rsidRPr="003A5232" w:rsidRDefault="003A5232" w:rsidP="004D7BDA">
      <w:pPr>
        <w:pStyle w:val="a4"/>
        <w:numPr>
          <w:ilvl w:val="0"/>
          <w:numId w:val="13"/>
        </w:numPr>
        <w:snapToGrid w:val="0"/>
        <w:spacing w:line="276" w:lineRule="auto"/>
        <w:ind w:firstLineChars="0"/>
        <w:rPr>
          <w:sz w:val="21"/>
          <w:szCs w:val="21"/>
        </w:rPr>
      </w:pPr>
      <w:r>
        <w:rPr>
          <w:rFonts w:ascii="Times New Roman" w:hAnsi="Times New Roman" w:hint="eastAsia"/>
          <w:bCs/>
          <w:sz w:val="21"/>
          <w:szCs w:val="21"/>
        </w:rPr>
        <w:t>掌握</w:t>
      </w:r>
      <w:r w:rsidRPr="003A5232">
        <w:rPr>
          <w:rFonts w:hint="eastAsia"/>
          <w:sz w:val="21"/>
          <w:szCs w:val="21"/>
        </w:rPr>
        <w:t>薪酬</w:t>
      </w:r>
      <w:r w:rsidRPr="003A5232">
        <w:rPr>
          <w:sz w:val="21"/>
          <w:szCs w:val="21"/>
        </w:rPr>
        <w:t>管理、薪酬策略</w:t>
      </w:r>
      <w:r w:rsidRPr="003A5232">
        <w:rPr>
          <w:rFonts w:hint="eastAsia"/>
          <w:sz w:val="21"/>
          <w:szCs w:val="21"/>
        </w:rPr>
        <w:t>和薪酬设计整体原则</w:t>
      </w:r>
    </w:p>
    <w:p w:rsidR="003A5232" w:rsidRPr="003A5232" w:rsidRDefault="003A5232" w:rsidP="004D7BDA">
      <w:pPr>
        <w:pStyle w:val="a4"/>
        <w:numPr>
          <w:ilvl w:val="0"/>
          <w:numId w:val="13"/>
        </w:numPr>
        <w:snapToGrid w:val="0"/>
        <w:spacing w:line="276" w:lineRule="auto"/>
        <w:ind w:firstLineChars="0"/>
        <w:rPr>
          <w:sz w:val="21"/>
          <w:szCs w:val="21"/>
        </w:rPr>
      </w:pPr>
      <w:r>
        <w:rPr>
          <w:rFonts w:ascii="Times New Roman" w:hAnsi="Times New Roman" w:hint="eastAsia"/>
          <w:bCs/>
          <w:sz w:val="21"/>
          <w:szCs w:val="21"/>
        </w:rPr>
        <w:t>掌握</w:t>
      </w:r>
      <w:r w:rsidRPr="003A5232">
        <w:rPr>
          <w:rFonts w:hint="eastAsia"/>
          <w:sz w:val="21"/>
          <w:szCs w:val="21"/>
        </w:rPr>
        <w:t>常用职位</w:t>
      </w:r>
      <w:r w:rsidRPr="003A5232">
        <w:rPr>
          <w:sz w:val="21"/>
          <w:szCs w:val="21"/>
        </w:rPr>
        <w:t>评估工具</w:t>
      </w:r>
      <w:r w:rsidRPr="003A5232">
        <w:rPr>
          <w:rFonts w:hint="eastAsia"/>
          <w:sz w:val="21"/>
          <w:szCs w:val="21"/>
        </w:rPr>
        <w:t>、职位薪酬等级、薪酬结构和薪酬管理制度等薪酬体系设计内容</w:t>
      </w:r>
    </w:p>
    <w:p w:rsidR="003A5232" w:rsidRPr="003A5232" w:rsidRDefault="003A5232" w:rsidP="004D7BDA">
      <w:pPr>
        <w:pStyle w:val="a4"/>
        <w:numPr>
          <w:ilvl w:val="0"/>
          <w:numId w:val="13"/>
        </w:numPr>
        <w:snapToGrid w:val="0"/>
        <w:spacing w:line="276" w:lineRule="auto"/>
        <w:ind w:firstLineChars="0"/>
        <w:rPr>
          <w:sz w:val="21"/>
          <w:szCs w:val="21"/>
        </w:rPr>
      </w:pPr>
      <w:r w:rsidRPr="003A5232">
        <w:rPr>
          <w:rFonts w:hint="eastAsia"/>
          <w:sz w:val="21"/>
          <w:szCs w:val="21"/>
        </w:rPr>
        <w:t>掌握奖金方案设计的方法和技巧。</w:t>
      </w:r>
    </w:p>
    <w:p w:rsidR="00961553" w:rsidRPr="00A64796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培训对象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p w:rsidR="00961553" w:rsidRDefault="00961553" w:rsidP="004D7BDA">
      <w:pPr>
        <w:numPr>
          <w:ilvl w:val="1"/>
          <w:numId w:val="1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 w:rsidR="00E77FEE" w:rsidRPr="00E77FEE">
        <w:rPr>
          <w:rFonts w:ascii="宋体" w:hAnsi="宋体" w:hint="eastAsia"/>
          <w:szCs w:val="21"/>
        </w:rPr>
        <w:t>企、事业单位董事长、总经理、人力资源总监、经理、绩效、薪酬主管等管理人员</w:t>
      </w:r>
    </w:p>
    <w:p w:rsidR="00961553" w:rsidRDefault="00961553" w:rsidP="004D7BDA">
      <w:pPr>
        <w:numPr>
          <w:ilvl w:val="1"/>
          <w:numId w:val="1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:rsidR="00961553" w:rsidRDefault="00961553" w:rsidP="004D7BDA">
      <w:pPr>
        <w:numPr>
          <w:ilvl w:val="1"/>
          <w:numId w:val="1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:rsidR="00961553" w:rsidRDefault="00961553" w:rsidP="00961553">
      <w:pPr>
        <w:snapToGrid w:val="0"/>
        <w:spacing w:line="440" w:lineRule="atLeast"/>
        <w:jc w:val="left"/>
        <w:rPr>
          <w:rFonts w:ascii="宋体" w:hAnsi="宋体"/>
          <w:color w:val="FF0000"/>
          <w:szCs w:val="21"/>
        </w:rPr>
      </w:pPr>
      <w:r w:rsidRPr="00A64796">
        <w:rPr>
          <w:rFonts w:ascii="宋体" w:hAnsi="宋体" w:hint="eastAsia"/>
          <w:color w:val="FF0000"/>
          <w:szCs w:val="21"/>
        </w:rPr>
        <w:t>【</w:t>
      </w:r>
      <w:r w:rsidRPr="00A64796">
        <w:rPr>
          <w:rFonts w:ascii="宋体" w:hAnsi="宋体" w:hint="eastAsia"/>
          <w:b/>
          <w:color w:val="FF0000"/>
          <w:szCs w:val="21"/>
        </w:rPr>
        <w:t>课程大纲</w:t>
      </w:r>
      <w:r w:rsidRPr="00A64796">
        <w:rPr>
          <w:rFonts w:ascii="宋体" w:hAnsi="宋体" w:hint="eastAsia"/>
          <w:color w:val="FF0000"/>
          <w:szCs w:val="21"/>
        </w:rPr>
        <w:t>】</w:t>
      </w:r>
    </w:p>
    <w:tbl>
      <w:tblPr>
        <w:tblStyle w:val="a9"/>
        <w:tblW w:w="9634" w:type="dxa"/>
        <w:tblLook w:val="04A0" w:firstRow="1" w:lastRow="0" w:firstColumn="1" w:lastColumn="0" w:noHBand="0" w:noVBand="1"/>
      </w:tblPr>
      <w:tblGrid>
        <w:gridCol w:w="4700"/>
        <w:gridCol w:w="4934"/>
      </w:tblGrid>
      <w:tr w:rsidR="009C4459" w:rsidRPr="009C4459" w:rsidTr="009C4459">
        <w:tc>
          <w:tcPr>
            <w:tcW w:w="4700" w:type="dxa"/>
          </w:tcPr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Pr="009C4459">
              <w:rPr>
                <w:b/>
                <w:szCs w:val="21"/>
              </w:rPr>
              <w:t>一讲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薪酬体系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4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全面薪酬概念及其构成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4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薪酬概念的理解及其工作中的应用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4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薪酬的竞争性问题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第二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薪酬设计的基本原则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3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对外具有竞争性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3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对内具有公平性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第三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岗位分析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什么是岗位分析与岗位分析的作用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岗位分析的方法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组织与部门职责与岗位职责的关系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常用的岗位分析的方法——资料分析法，问卷法，观察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岗位分析的步骤与流程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部门职责设计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岗位职责设计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lastRenderedPageBreak/>
              <w:t>岗位任职要</w:t>
            </w:r>
            <w:r w:rsidRPr="009C4459">
              <w:rPr>
                <w:sz w:val="21"/>
                <w:szCs w:val="21"/>
              </w:rPr>
              <w:t>求</w:t>
            </w:r>
            <w:r w:rsidRPr="009C4459">
              <w:rPr>
                <w:rFonts w:hint="eastAsia"/>
                <w:sz w:val="21"/>
                <w:szCs w:val="21"/>
              </w:rPr>
              <w:t>设计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常见的岗位设计的误区与错误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第四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制定薪酬策略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薪酬水平的市场定位策略；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薪酬纵向总差距的确定策略；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薪酬级差等差、等比跃升策略；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薪酬倾向策略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企业发展不同阶段的薪酬策略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不同年龄层面员工的薪酬策略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5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国企和私企的薪酬策略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五、岗位价值评估实操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岗位价值评估工具分析</w:t>
            </w:r>
          </w:p>
          <w:p w:rsidR="009C4459" w:rsidRPr="009C4459" w:rsidRDefault="009C4459" w:rsidP="009C4459">
            <w:pPr>
              <w:spacing w:line="276" w:lineRule="auto"/>
              <w:ind w:left="420"/>
              <w:rPr>
                <w:szCs w:val="21"/>
              </w:rPr>
            </w:pPr>
            <w:r w:rsidRPr="009C4459">
              <w:rPr>
                <w:rFonts w:hint="eastAsia"/>
                <w:szCs w:val="21"/>
              </w:rPr>
              <w:t>工作排序法</w:t>
            </w:r>
          </w:p>
          <w:p w:rsidR="009C4459" w:rsidRPr="009C4459" w:rsidRDefault="009C4459" w:rsidP="009C4459">
            <w:pPr>
              <w:spacing w:line="276" w:lineRule="auto"/>
              <w:ind w:left="420" w:rightChars="100" w:right="210"/>
              <w:rPr>
                <w:szCs w:val="21"/>
              </w:rPr>
            </w:pPr>
            <w:r w:rsidRPr="009C4459">
              <w:rPr>
                <w:rFonts w:hint="eastAsia"/>
                <w:szCs w:val="21"/>
              </w:rPr>
              <w:t>工作分类法</w:t>
            </w:r>
          </w:p>
          <w:p w:rsidR="009C4459" w:rsidRPr="009C4459" w:rsidRDefault="009C4459" w:rsidP="009C4459">
            <w:pPr>
              <w:spacing w:line="276" w:lineRule="auto"/>
              <w:ind w:left="420" w:rightChars="100" w:right="210"/>
              <w:rPr>
                <w:szCs w:val="21"/>
              </w:rPr>
            </w:pPr>
            <w:r w:rsidRPr="009C4459">
              <w:rPr>
                <w:rFonts w:hint="eastAsia"/>
                <w:szCs w:val="21"/>
              </w:rPr>
              <w:t>要素比较法</w:t>
            </w:r>
          </w:p>
          <w:p w:rsidR="009C4459" w:rsidRPr="009C4459" w:rsidRDefault="009C4459" w:rsidP="009C4459">
            <w:pPr>
              <w:spacing w:line="276" w:lineRule="auto"/>
              <w:ind w:left="420"/>
              <w:rPr>
                <w:szCs w:val="21"/>
              </w:rPr>
            </w:pPr>
            <w:r w:rsidRPr="009C4459">
              <w:rPr>
                <w:rFonts w:hint="eastAsia"/>
                <w:szCs w:val="21"/>
              </w:rPr>
              <w:t>要素计点法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海</w:t>
            </w:r>
            <w:r w:rsidRPr="009C4459">
              <w:rPr>
                <w:sz w:val="21"/>
                <w:szCs w:val="21"/>
              </w:rPr>
              <w:t>氏、</w:t>
            </w:r>
            <w:r w:rsidRPr="009C4459">
              <w:rPr>
                <w:rFonts w:hint="eastAsia"/>
                <w:sz w:val="21"/>
                <w:szCs w:val="21"/>
              </w:rPr>
              <w:t>汉</w:t>
            </w:r>
            <w:r w:rsidRPr="009C4459">
              <w:rPr>
                <w:sz w:val="21"/>
                <w:szCs w:val="21"/>
              </w:rPr>
              <w:t>威特、</w:t>
            </w:r>
            <w:r w:rsidRPr="009C4459">
              <w:rPr>
                <w:rFonts w:hint="eastAsia"/>
                <w:sz w:val="21"/>
                <w:szCs w:val="21"/>
              </w:rPr>
              <w:t>华</w:t>
            </w:r>
            <w:r w:rsidRPr="009C4459">
              <w:rPr>
                <w:sz w:val="21"/>
                <w:szCs w:val="21"/>
              </w:rPr>
              <w:t>信</w:t>
            </w:r>
            <w:r w:rsidRPr="009C4459">
              <w:rPr>
                <w:rFonts w:hint="eastAsia"/>
                <w:sz w:val="21"/>
                <w:szCs w:val="21"/>
              </w:rPr>
              <w:t>惠</w:t>
            </w:r>
            <w:r w:rsidRPr="009C4459">
              <w:rPr>
                <w:sz w:val="21"/>
                <w:szCs w:val="21"/>
              </w:rPr>
              <w:t>悦、</w:t>
            </w:r>
            <w:r w:rsidRPr="009C4459">
              <w:rPr>
                <w:rFonts w:hint="eastAsia"/>
                <w:sz w:val="21"/>
                <w:szCs w:val="21"/>
              </w:rPr>
              <w:t>美世国际职位评估体系分析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岗位价值评估小组成员选择的诀窍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选择关键岗位的计算公式与诀窍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岗位价值试评估与评估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岗位价值评估数据处理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岗位测评注意事项和常见问题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6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岗位测评如何不被打扰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第六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市场薪酬调查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确定薪酬市场调查范围（薪酬</w:t>
            </w:r>
            <w:r>
              <w:rPr>
                <w:rFonts w:hint="eastAsia"/>
                <w:sz w:val="21"/>
                <w:szCs w:val="21"/>
              </w:rPr>
              <w:t>、</w:t>
            </w:r>
            <w:r w:rsidRPr="009C4459">
              <w:rPr>
                <w:rFonts w:hint="eastAsia"/>
                <w:sz w:val="21"/>
                <w:szCs w:val="21"/>
              </w:rPr>
              <w:t>招聘半径）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做市场薪酬调查的两种方法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如何设计调查问卷</w:t>
            </w:r>
          </w:p>
        </w:tc>
        <w:tc>
          <w:tcPr>
            <w:tcW w:w="4934" w:type="dxa"/>
          </w:tcPr>
          <w:p w:rsidR="009C4459" w:rsidRPr="009C4459" w:rsidRDefault="009C4459" w:rsidP="004D7BDA">
            <w:pPr>
              <w:pStyle w:val="a4"/>
              <w:numPr>
                <w:ilvl w:val="0"/>
                <w:numId w:val="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lastRenderedPageBreak/>
              <w:t>如何阅读市场薪资调查报告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如何把企业的薪资水平与市场曲线相比，并且画出企业薪资曲线与市场各分位曲线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7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调查数据资料的应用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</w:t>
            </w:r>
            <w:r w:rsidRPr="009C4459">
              <w:rPr>
                <w:b/>
                <w:szCs w:val="21"/>
              </w:rPr>
              <w:t>七讲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薪酬分级定薪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薪酬如何分级，以及设计原则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薪级如何划分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如何确定各薪级的中心值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如何确定各薪级的上下限额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如何确定同一职等的级数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确定级差比例与级差差额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8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形成职等薪级表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第八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薪酬结构设计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销售人员的薪酬结构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管理人员的薪酬结构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研发、技术人员的薪酬结构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lastRenderedPageBreak/>
              <w:t>项目人员的薪酬结构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生产作业人员的薪酬结构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国企和私企的薪酬结构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薪酬结构的三种构成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固定收入和变动收入的构成，原则以及常见问题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当期收入和预期收入的问题分析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9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白色收入和黑色收入的问题分析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第九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薪酬调整制度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薪资调整的种类（普调和个体调整）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确定晋升降级范围及标准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0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薪酬调整权限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第十</w:t>
            </w:r>
            <w:r w:rsidRPr="009C4459">
              <w:rPr>
                <w:b/>
                <w:szCs w:val="21"/>
              </w:rPr>
              <w:t>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员工薪酬入位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1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员工薪酬入级的原则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1"/>
              </w:numPr>
              <w:spacing w:line="276" w:lineRule="auto"/>
              <w:ind w:rightChars="100" w:right="210"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老员工如何定薪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1"/>
              </w:numPr>
              <w:spacing w:line="276" w:lineRule="auto"/>
              <w:ind w:rightChars="100" w:right="210"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新员工如何定薪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1"/>
              </w:numPr>
              <w:spacing w:line="276" w:lineRule="auto"/>
              <w:ind w:rightChars="100" w:right="210"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解决薪酬水平低于标准的人员的科学合理方法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1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解决薪酬水平超标的人员的方法</w:t>
            </w:r>
          </w:p>
          <w:p w:rsidR="009C4459" w:rsidRPr="009C4459" w:rsidRDefault="009C4459" w:rsidP="009C4459">
            <w:pPr>
              <w:spacing w:line="276" w:lineRule="auto"/>
              <w:rPr>
                <w:b/>
                <w:szCs w:val="21"/>
              </w:rPr>
            </w:pPr>
            <w:r w:rsidRPr="009C4459">
              <w:rPr>
                <w:rFonts w:hint="eastAsia"/>
                <w:b/>
                <w:szCs w:val="21"/>
              </w:rPr>
              <w:t>第十</w:t>
            </w:r>
            <w:r w:rsidRPr="009C4459">
              <w:rPr>
                <w:b/>
                <w:szCs w:val="21"/>
              </w:rPr>
              <w:t>一讲</w:t>
            </w:r>
            <w:r w:rsidRPr="009C4459">
              <w:rPr>
                <w:rFonts w:hint="eastAsia"/>
                <w:b/>
                <w:szCs w:val="21"/>
              </w:rPr>
              <w:t xml:space="preserve"> </w:t>
            </w:r>
            <w:r w:rsidRPr="009C4459">
              <w:rPr>
                <w:rFonts w:hint="eastAsia"/>
                <w:b/>
                <w:szCs w:val="21"/>
              </w:rPr>
              <w:t>薪酬的其他问题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如何设定奖金的比例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企业为员工发放绩效工资的计算公式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关于绩效工资或奖金的讨论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如何看待给予部门经理相应的合理的薪资管理权限（二次分配的问题）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薪酬保密和薪酬公开的问题分析</w:t>
            </w:r>
          </w:p>
          <w:p w:rsidR="009C4459" w:rsidRPr="009C4459" w:rsidRDefault="009C4459" w:rsidP="004D7BDA">
            <w:pPr>
              <w:pStyle w:val="a4"/>
              <w:numPr>
                <w:ilvl w:val="0"/>
                <w:numId w:val="12"/>
              </w:numPr>
              <w:spacing w:line="276" w:lineRule="auto"/>
              <w:ind w:firstLineChars="0"/>
              <w:rPr>
                <w:sz w:val="21"/>
                <w:szCs w:val="21"/>
              </w:rPr>
            </w:pPr>
            <w:r w:rsidRPr="009C4459">
              <w:rPr>
                <w:rFonts w:hint="eastAsia"/>
                <w:sz w:val="21"/>
                <w:szCs w:val="21"/>
              </w:rPr>
              <w:t>薪酬的哪些内容需要公开</w:t>
            </w:r>
          </w:p>
        </w:tc>
      </w:tr>
    </w:tbl>
    <w:p w:rsidR="000969B8" w:rsidRDefault="000969B8">
      <w:pPr>
        <w:widowControl/>
        <w:jc w:val="left"/>
      </w:pPr>
    </w:p>
    <w:sectPr w:rsidR="000969B8" w:rsidSect="00961553">
      <w:pgSz w:w="11906" w:h="16838"/>
      <w:pgMar w:top="1304" w:right="1191" w:bottom="1247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7BDA" w:rsidRDefault="004D7BDA" w:rsidP="005666D8">
      <w:r>
        <w:separator/>
      </w:r>
    </w:p>
  </w:endnote>
  <w:endnote w:type="continuationSeparator" w:id="0">
    <w:p w:rsidR="004D7BDA" w:rsidRDefault="004D7BDA" w:rsidP="00566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7BDA" w:rsidRDefault="004D7BDA" w:rsidP="005666D8">
      <w:r>
        <w:separator/>
      </w:r>
    </w:p>
  </w:footnote>
  <w:footnote w:type="continuationSeparator" w:id="0">
    <w:p w:rsidR="004D7BDA" w:rsidRDefault="004D7BDA" w:rsidP="00566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BC"/>
    <w:multiLevelType w:val="multilevel"/>
    <w:tmpl w:val="000000BC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5F5BDF"/>
    <w:multiLevelType w:val="hybridMultilevel"/>
    <w:tmpl w:val="924E4678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D258A2"/>
    <w:multiLevelType w:val="hybridMultilevel"/>
    <w:tmpl w:val="EA8474D0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ED43D1"/>
    <w:multiLevelType w:val="hybridMultilevel"/>
    <w:tmpl w:val="E690B814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5A3747"/>
    <w:multiLevelType w:val="hybridMultilevel"/>
    <w:tmpl w:val="B68837FA"/>
    <w:lvl w:ilvl="0" w:tplc="58F4F42C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C6333D3"/>
    <w:multiLevelType w:val="hybridMultilevel"/>
    <w:tmpl w:val="DE7CDF06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73C5D14"/>
    <w:multiLevelType w:val="hybridMultilevel"/>
    <w:tmpl w:val="401E4918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0A3B0D"/>
    <w:multiLevelType w:val="hybridMultilevel"/>
    <w:tmpl w:val="2BAEFA0C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46D3BB8"/>
    <w:multiLevelType w:val="hybridMultilevel"/>
    <w:tmpl w:val="98A44BC2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B77750"/>
    <w:multiLevelType w:val="hybridMultilevel"/>
    <w:tmpl w:val="36D4C8E4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0593565"/>
    <w:multiLevelType w:val="hybridMultilevel"/>
    <w:tmpl w:val="59C0A734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1B165F7A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CA11AA6"/>
    <w:multiLevelType w:val="hybridMultilevel"/>
    <w:tmpl w:val="2FAE75AA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6130C37"/>
    <w:multiLevelType w:val="hybridMultilevel"/>
    <w:tmpl w:val="96F4B874"/>
    <w:lvl w:ilvl="0" w:tplc="58F4F42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1"/>
  </w:num>
  <w:num w:numId="5">
    <w:abstractNumId w:val="9"/>
  </w:num>
  <w:num w:numId="6">
    <w:abstractNumId w:val="10"/>
  </w:num>
  <w:num w:numId="7">
    <w:abstractNumId w:val="6"/>
  </w:num>
  <w:num w:numId="8">
    <w:abstractNumId w:val="2"/>
  </w:num>
  <w:num w:numId="9">
    <w:abstractNumId w:val="12"/>
  </w:num>
  <w:num w:numId="10">
    <w:abstractNumId w:val="5"/>
  </w:num>
  <w:num w:numId="11">
    <w:abstractNumId w:val="7"/>
  </w:num>
  <w:num w:numId="12">
    <w:abstractNumId w:val="1"/>
  </w:num>
  <w:num w:numId="13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553"/>
    <w:rsid w:val="000969B8"/>
    <w:rsid w:val="00165D64"/>
    <w:rsid w:val="00212FA4"/>
    <w:rsid w:val="002B10A9"/>
    <w:rsid w:val="002C2FA7"/>
    <w:rsid w:val="002D6627"/>
    <w:rsid w:val="00386527"/>
    <w:rsid w:val="003A5232"/>
    <w:rsid w:val="004C743D"/>
    <w:rsid w:val="004D7BDA"/>
    <w:rsid w:val="00515208"/>
    <w:rsid w:val="005666D8"/>
    <w:rsid w:val="005F6907"/>
    <w:rsid w:val="007C1721"/>
    <w:rsid w:val="00801026"/>
    <w:rsid w:val="00961553"/>
    <w:rsid w:val="009C4459"/>
    <w:rsid w:val="00B3116F"/>
    <w:rsid w:val="00C4220C"/>
    <w:rsid w:val="00C87910"/>
    <w:rsid w:val="00CF7973"/>
    <w:rsid w:val="00D51573"/>
    <w:rsid w:val="00D5749C"/>
    <w:rsid w:val="00D824F8"/>
    <w:rsid w:val="00D82568"/>
    <w:rsid w:val="00DC0235"/>
    <w:rsid w:val="00DD70FE"/>
    <w:rsid w:val="00E77FEE"/>
    <w:rsid w:val="00EE0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02CF74"/>
  <w15:chartTrackingRefBased/>
  <w15:docId w15:val="{681B4DC5-0D2B-4E44-8367-349095529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5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615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961553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66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666D8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66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666D8"/>
    <w:rPr>
      <w:rFonts w:ascii="Calibri" w:eastAsia="宋体" w:hAnsi="Calibri" w:cs="Times New Roman"/>
      <w:sz w:val="18"/>
      <w:szCs w:val="18"/>
    </w:rPr>
  </w:style>
  <w:style w:type="table" w:styleId="a9">
    <w:name w:val="Table Grid"/>
    <w:basedOn w:val="a1"/>
    <w:uiPriority w:val="39"/>
    <w:rsid w:val="009C44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4C743D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221</Words>
  <Characters>1260</Characters>
  <Application>Microsoft Office Word</Application>
  <DocSecurity>0</DocSecurity>
  <Lines>10</Lines>
  <Paragraphs>2</Paragraphs>
  <ScaleCrop>false</ScaleCrop>
  <Company>深圳市贝森管理咨询有限公司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wentyle</cp:lastModifiedBy>
  <cp:revision>15</cp:revision>
  <dcterms:created xsi:type="dcterms:W3CDTF">2015-07-22T16:03:00Z</dcterms:created>
  <dcterms:modified xsi:type="dcterms:W3CDTF">2016-07-27T01:35:00Z</dcterms:modified>
</cp:coreProperties>
</file>