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7722315" w14:textId="77777777" w:rsidR="00F74675" w:rsidRDefault="001A496A">
      <w:p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30"/>
          <w:szCs w:val="30"/>
        </w:rPr>
      </w:pPr>
      <w:r>
        <w:rPr>
          <w:rFonts w:ascii="宋体" w:hAnsi="宋体" w:hint="eastAsia"/>
          <w:b/>
          <w:bCs/>
          <w:sz w:val="30"/>
          <w:szCs w:val="30"/>
        </w:rPr>
        <w:t>宏观经济形势、政策变化</w:t>
      </w:r>
      <w:r w:rsidR="00532F58">
        <w:rPr>
          <w:rFonts w:ascii="宋体" w:hAnsi="宋体" w:hint="eastAsia"/>
          <w:b/>
          <w:bCs/>
          <w:sz w:val="30"/>
          <w:szCs w:val="30"/>
        </w:rPr>
        <w:t>、长三角一体化发展战略</w:t>
      </w:r>
      <w:r>
        <w:rPr>
          <w:rFonts w:ascii="宋体" w:hAnsi="宋体" w:hint="eastAsia"/>
          <w:b/>
          <w:bCs/>
          <w:sz w:val="30"/>
          <w:szCs w:val="30"/>
        </w:rPr>
        <w:t>与建筑行业（企业）的应对</w:t>
      </w:r>
    </w:p>
    <w:p w14:paraId="70B8CFCB" w14:textId="77777777" w:rsidR="00F74675" w:rsidRDefault="001A496A">
      <w:p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提纲</w:t>
      </w:r>
    </w:p>
    <w:p w14:paraId="7D087FA0" w14:textId="77777777" w:rsidR="00F74675" w:rsidRDefault="001A496A">
      <w:pPr>
        <w:adjustRightInd w:val="0"/>
        <w:snapToGrid w:val="0"/>
        <w:spacing w:line="360" w:lineRule="auto"/>
        <w:jc w:val="center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王传宝 教授</w:t>
      </w:r>
    </w:p>
    <w:p w14:paraId="4A151815" w14:textId="237287F7" w:rsidR="00F74675" w:rsidRDefault="001A496A">
      <w:pPr>
        <w:adjustRightInd w:val="0"/>
        <w:snapToGrid w:val="0"/>
        <w:spacing w:line="360" w:lineRule="auto"/>
        <w:ind w:firstLineChars="200" w:firstLine="480"/>
        <w:jc w:val="center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时长：</w:t>
      </w:r>
      <w:r w:rsidR="00FC15D4">
        <w:rPr>
          <w:rFonts w:ascii="宋体" w:hAnsi="宋体" w:hint="eastAsia"/>
          <w:sz w:val="24"/>
        </w:rPr>
        <w:t>0.5-</w:t>
      </w:r>
      <w:bookmarkStart w:id="0" w:name="_GoBack"/>
      <w:bookmarkEnd w:id="0"/>
      <w:r>
        <w:rPr>
          <w:rFonts w:ascii="宋体" w:hAnsi="宋体" w:hint="eastAsia"/>
          <w:sz w:val="24"/>
        </w:rPr>
        <w:t>1天。可根据客户要求调整课纲</w:t>
      </w:r>
    </w:p>
    <w:p w14:paraId="2649BA51" w14:textId="77777777" w:rsidR="00F74675" w:rsidRDefault="00F7467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757D8359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b/>
          <w:bCs/>
          <w:sz w:val="24"/>
        </w:rPr>
        <w:t>培训目标</w:t>
      </w:r>
      <w:r>
        <w:rPr>
          <w:rFonts w:ascii="宋体" w:hAnsi="宋体" w:hint="eastAsia"/>
          <w:sz w:val="24"/>
        </w:rPr>
        <w:t>：解读当前我国宏观经济形势和最新基建、房地产政策变化，通过研判世界经济新周期与中国经济新常态、中国经济长期发展趋势，解读金融风险，预测19大后中国经济走向，</w:t>
      </w:r>
      <w:r w:rsidR="00163EAA">
        <w:rPr>
          <w:rFonts w:ascii="宋体" w:hAnsi="宋体" w:hint="eastAsia"/>
          <w:sz w:val="24"/>
        </w:rPr>
        <w:t>结合长三角一体化</w:t>
      </w:r>
      <w:r w:rsidR="00B504E5">
        <w:rPr>
          <w:rFonts w:ascii="宋体" w:hAnsi="宋体" w:hint="eastAsia"/>
          <w:sz w:val="24"/>
        </w:rPr>
        <w:t>发展</w:t>
      </w:r>
      <w:r w:rsidR="00163EAA">
        <w:rPr>
          <w:rFonts w:ascii="宋体" w:hAnsi="宋体" w:hint="eastAsia"/>
          <w:sz w:val="24"/>
        </w:rPr>
        <w:t>战略</w:t>
      </w:r>
      <w:r w:rsidR="0056227C">
        <w:rPr>
          <w:rFonts w:ascii="宋体" w:hAnsi="宋体" w:hint="eastAsia"/>
          <w:sz w:val="24"/>
        </w:rPr>
        <w:t>对建筑企业带来的机遇与挑战，</w:t>
      </w:r>
      <w:r>
        <w:rPr>
          <w:rFonts w:ascii="宋体" w:hAnsi="宋体" w:hint="eastAsia"/>
          <w:sz w:val="24"/>
        </w:rPr>
        <w:t>解读我国建筑行业、房地产市场发展走向和建筑企业、房地产企业应对，帮助建筑企业和房地产企业决策，更好地助推工作。讲座“有趣、有理、有用”，图文并茂，通俗易懂。理论与实际相结合，学员可以在知其所以然的基础上，进而知道未来的必然。</w:t>
      </w:r>
    </w:p>
    <w:p w14:paraId="6B24E9EF" w14:textId="77777777" w:rsidR="00F74675" w:rsidRDefault="00F7467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022F78BA" w14:textId="77777777" w:rsidR="00F74675" w:rsidRDefault="001A496A">
      <w:pPr>
        <w:adjustRightInd w:val="0"/>
        <w:snapToGrid w:val="0"/>
        <w:spacing w:line="360" w:lineRule="auto"/>
        <w:ind w:firstLineChars="200" w:firstLine="480"/>
        <w:jc w:val="center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讲座提纲</w:t>
      </w:r>
    </w:p>
    <w:p w14:paraId="723737A2" w14:textId="77777777" w:rsidR="00F74675" w:rsidRDefault="00F7467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4B5E274E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/>
          <w:bCs/>
          <w:color w:val="0000FF"/>
          <w:sz w:val="24"/>
        </w:rPr>
      </w:pPr>
      <w:r>
        <w:rPr>
          <w:rFonts w:ascii="宋体" w:hAnsi="宋体" w:hint="eastAsia"/>
          <w:b/>
          <w:bCs/>
          <w:color w:val="0000FF"/>
          <w:sz w:val="24"/>
        </w:rPr>
        <w:t>一、新周期：世界经济新周期是中国建筑行业和房地产市场的大环境</w:t>
      </w:r>
    </w:p>
    <w:p w14:paraId="7616CA01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1、世界随时可能发生的新金融危机</w:t>
      </w:r>
    </w:p>
    <w:p w14:paraId="63506D11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2、世界经济周期与新工业革命</w:t>
      </w:r>
    </w:p>
    <w:p w14:paraId="1F7503D0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——康德拉季耶夫周期与科技革命</w:t>
      </w:r>
    </w:p>
    <w:p w14:paraId="672005D9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——人生发财靠康波</w:t>
      </w:r>
    </w:p>
    <w:p w14:paraId="528D3404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</w:t>
      </w:r>
      <w:r w:rsidR="00B74DAB">
        <w:rPr>
          <w:rFonts w:ascii="宋体" w:hAnsi="宋体" w:hint="eastAsia"/>
          <w:sz w:val="24"/>
        </w:rPr>
        <w:t>全球降息潮</w:t>
      </w:r>
      <w:r w:rsidR="00B67759">
        <w:rPr>
          <w:rFonts w:ascii="宋体" w:hAnsi="宋体" w:hint="eastAsia"/>
          <w:sz w:val="24"/>
        </w:rPr>
        <w:t>乃至负利率</w:t>
      </w:r>
      <w:r>
        <w:rPr>
          <w:rFonts w:ascii="宋体" w:hAnsi="宋体" w:hint="eastAsia"/>
          <w:sz w:val="24"/>
        </w:rPr>
        <w:t>搅动世界经济局势，</w:t>
      </w:r>
      <w:r w:rsidR="00213CBE">
        <w:rPr>
          <w:rFonts w:ascii="宋体" w:hAnsi="宋体" w:hint="eastAsia"/>
          <w:sz w:val="24"/>
        </w:rPr>
        <w:t>降低</w:t>
      </w:r>
      <w:r>
        <w:rPr>
          <w:rFonts w:ascii="宋体" w:hAnsi="宋体" w:hint="eastAsia"/>
          <w:sz w:val="24"/>
        </w:rPr>
        <w:t>建筑企业、房地产企业资金成本</w:t>
      </w:r>
    </w:p>
    <w:p w14:paraId="0E1163A9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4、美联储</w:t>
      </w:r>
      <w:r w:rsidR="00972188">
        <w:rPr>
          <w:rFonts w:ascii="宋体" w:hAnsi="宋体" w:hint="eastAsia"/>
          <w:sz w:val="24"/>
        </w:rPr>
        <w:t>停止</w:t>
      </w:r>
      <w:r>
        <w:rPr>
          <w:rFonts w:ascii="宋体" w:hAnsi="宋体" w:hint="eastAsia"/>
          <w:sz w:val="24"/>
        </w:rPr>
        <w:t>缩表：影响建筑企业、房地产企业融资</w:t>
      </w:r>
    </w:p>
    <w:p w14:paraId="4C28F494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5、特朗普冲贸易战，影响基建投资、房地产投资</w:t>
      </w:r>
    </w:p>
    <w:p w14:paraId="5A3BB5B8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6、“灰犀牛”与全球大变局</w:t>
      </w:r>
    </w:p>
    <w:p w14:paraId="3FB73986" w14:textId="77777777" w:rsidR="00F74675" w:rsidRDefault="00F7467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/>
          <w:bCs/>
          <w:color w:val="0000FF"/>
          <w:sz w:val="24"/>
        </w:rPr>
      </w:pPr>
    </w:p>
    <w:p w14:paraId="73268FCF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/>
          <w:bCs/>
          <w:color w:val="0000FF"/>
          <w:sz w:val="24"/>
        </w:rPr>
      </w:pPr>
      <w:r>
        <w:rPr>
          <w:rFonts w:ascii="宋体" w:hAnsi="宋体" w:hint="eastAsia"/>
          <w:b/>
          <w:bCs/>
          <w:color w:val="0000FF"/>
          <w:sz w:val="24"/>
        </w:rPr>
        <w:t>二、新常态：中国经济新常态表明中国基建行业、房地产市场进入新常态</w:t>
      </w:r>
    </w:p>
    <w:p w14:paraId="2967F901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1、经济新常态表明旧动能增长乏力</w:t>
      </w:r>
    </w:p>
    <w:p w14:paraId="14C85822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2、如何判断经济态势</w:t>
      </w:r>
    </w:p>
    <w:p w14:paraId="64E9CFBD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——跟着领袖看态势</w:t>
      </w:r>
    </w:p>
    <w:p w14:paraId="78D3791F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——根本在于素养和态度</w:t>
      </w:r>
    </w:p>
    <w:p w14:paraId="63DA96F1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——我国古典四大文学名著中的管理密码</w:t>
      </w:r>
    </w:p>
    <w:p w14:paraId="53DD7EFB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sz w:val="24"/>
        </w:rPr>
        <w:t>3、实体经济步履维艰</w:t>
      </w:r>
    </w:p>
    <w:p w14:paraId="735D3E72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——经济L型走势：1978年-20</w:t>
      </w:r>
      <w:r w:rsidR="006707C9">
        <w:rPr>
          <w:rFonts w:ascii="宋体" w:hAnsi="宋体" w:hint="eastAsia"/>
          <w:sz w:val="24"/>
        </w:rPr>
        <w:t>19</w:t>
      </w:r>
      <w:r>
        <w:rPr>
          <w:rFonts w:ascii="宋体" w:hAnsi="宋体" w:hint="eastAsia"/>
          <w:sz w:val="24"/>
        </w:rPr>
        <w:t>年中国GDP增长速度</w:t>
      </w:r>
    </w:p>
    <w:p w14:paraId="5B317E65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——中国工业增长速度下滑</w:t>
      </w:r>
    </w:p>
    <w:p w14:paraId="14CAC096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——资金脱实向虚：实体经济步履维艰</w:t>
      </w:r>
    </w:p>
    <w:p w14:paraId="414AF071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——外资出逃</w:t>
      </w:r>
    </w:p>
    <w:p w14:paraId="72F6F07F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——外储减少</w:t>
      </w:r>
    </w:p>
    <w:p w14:paraId="067522FD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——当前企业面临六大问题</w:t>
      </w:r>
    </w:p>
    <w:p w14:paraId="56CBF849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——当前企业面临的五大危机</w:t>
      </w:r>
    </w:p>
    <w:p w14:paraId="6A00E115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——企业倒闭潮的四种推动力量</w:t>
      </w:r>
    </w:p>
    <w:p w14:paraId="3EC7D74B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4、企业在经济转型期生存发展策略</w:t>
      </w:r>
    </w:p>
    <w:p w14:paraId="139B2AF8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——紧紧抓住自己的特色优势不放松，避免盲目多元化</w:t>
      </w:r>
    </w:p>
    <w:p w14:paraId="42CC33F3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——重大投资谨慎决策，待探底后进行大投资</w:t>
      </w:r>
    </w:p>
    <w:p w14:paraId="2EF1D289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——竭力降低各种成本</w:t>
      </w:r>
    </w:p>
    <w:p w14:paraId="0E26A2C5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——重视内外部合作，抱团求生存，分工协作求发展</w:t>
      </w:r>
    </w:p>
    <w:p w14:paraId="7B3F209A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——未雨绸缪，寻求新的增长点</w:t>
      </w:r>
    </w:p>
    <w:p w14:paraId="3FD2A743" w14:textId="77777777" w:rsidR="00F74675" w:rsidRDefault="00F7467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0F677DCC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/>
          <w:bCs/>
          <w:color w:val="0000FF"/>
          <w:sz w:val="24"/>
        </w:rPr>
      </w:pPr>
      <w:r>
        <w:rPr>
          <w:rFonts w:ascii="宋体" w:hAnsi="宋体" w:hint="eastAsia"/>
          <w:b/>
          <w:bCs/>
          <w:color w:val="0000FF"/>
          <w:sz w:val="24"/>
        </w:rPr>
        <w:t>三、新背景：中国经济长期发展趋势下中国基建和房地产发展的新宏观背景</w:t>
      </w:r>
    </w:p>
    <w:p w14:paraId="1051C764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1、宏观经济分析的基本框架：总需求与总供给</w:t>
      </w:r>
    </w:p>
    <w:p w14:paraId="2C5AF75C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2、需求三架马车分析</w:t>
      </w:r>
    </w:p>
    <w:p w14:paraId="38D04875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（1）消费</w:t>
      </w:r>
    </w:p>
    <w:p w14:paraId="297887A6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——消费结构升级</w:t>
      </w:r>
    </w:p>
    <w:p w14:paraId="0FF8A84D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——经济增长与消费结构升级的机制</w:t>
      </w:r>
    </w:p>
    <w:p w14:paraId="515D3FE7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——发展阶段与消费需求结构</w:t>
      </w:r>
    </w:p>
    <w:p w14:paraId="01696806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——进一步刺激内需不易</w:t>
      </w:r>
    </w:p>
    <w:p w14:paraId="43C85F42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（2）投资：民间投资告急</w:t>
      </w:r>
    </w:p>
    <w:p w14:paraId="78FB3FD7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（3）出口：进出口增速回落</w:t>
      </w:r>
    </w:p>
    <w:p w14:paraId="59CD10BE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3、供给侧分析</w:t>
      </w:r>
    </w:p>
    <w:p w14:paraId="2B0829C2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（1）人口问题：未富先老 </w:t>
      </w:r>
    </w:p>
    <w:p w14:paraId="7336BE0E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（2）资源环境问题</w:t>
      </w:r>
    </w:p>
    <w:p w14:paraId="16262356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（3）科技创新问题</w:t>
      </w:r>
    </w:p>
    <w:p w14:paraId="502664A5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4、城镇化没有完成，粤港澳大湾区建设等区域一体化加速，基建和房地产市场需求大量存在，基建投资和房地产投资将继续发挥作用</w:t>
      </w:r>
    </w:p>
    <w:p w14:paraId="6BEFF5F1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5、中西部地区的后发优势，中西部基建和房地产市场前景广阔</w:t>
      </w:r>
    </w:p>
    <w:p w14:paraId="6FBAFCE2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6、消费结构升级，广大中产阶层购房需求增加</w:t>
      </w:r>
    </w:p>
    <w:p w14:paraId="73845E50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7、我国未来经济持续增长支撑房地产需求</w:t>
      </w:r>
    </w:p>
    <w:p w14:paraId="382318C7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8、我国未来经济持续增长需要基建提供助力</w:t>
      </w:r>
    </w:p>
    <w:p w14:paraId="357A4B8E" w14:textId="77777777" w:rsidR="00F74675" w:rsidRDefault="00F7467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2FB16872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/>
          <w:bCs/>
          <w:color w:val="0000FF"/>
          <w:sz w:val="24"/>
        </w:rPr>
      </w:pPr>
      <w:r>
        <w:rPr>
          <w:rFonts w:ascii="宋体" w:hAnsi="宋体" w:hint="eastAsia"/>
          <w:b/>
          <w:bCs/>
          <w:color w:val="0000FF"/>
          <w:sz w:val="24"/>
        </w:rPr>
        <w:t>四、新形势：当前我国宏观经济形势</w:t>
      </w:r>
      <w:r w:rsidR="00E77836">
        <w:rPr>
          <w:rFonts w:ascii="宋体" w:hAnsi="宋体" w:hint="eastAsia"/>
          <w:b/>
          <w:bCs/>
          <w:color w:val="0000FF"/>
          <w:sz w:val="24"/>
        </w:rPr>
        <w:t>和2020年宏观经济预测</w:t>
      </w:r>
    </w:p>
    <w:p w14:paraId="4400996F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1、客观判断经济发展趋势</w:t>
      </w:r>
    </w:p>
    <w:p w14:paraId="660AFDC1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2、当前宏观经济形势</w:t>
      </w:r>
    </w:p>
    <w:p w14:paraId="4EB5CB6D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——克强指数看经济冷暖</w:t>
      </w:r>
    </w:p>
    <w:p w14:paraId="2F49E72C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——PMI不容乐观</w:t>
      </w:r>
    </w:p>
    <w:p w14:paraId="41363CE7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——从PPI、CPI看通胀/通缩隐忧</w:t>
      </w:r>
    </w:p>
    <w:p w14:paraId="58CB536A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——资产荒转为资金荒刚开始</w:t>
      </w:r>
    </w:p>
    <w:p w14:paraId="0B4C001F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3、中共中央政治局会议和中央经济工作会议对经济形势的判断</w:t>
      </w:r>
    </w:p>
    <w:p w14:paraId="7DAD6D57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</w:t>
      </w:r>
      <w:r w:rsidR="00975A9D">
        <w:rPr>
          <w:rFonts w:ascii="宋体" w:hAnsi="宋体" w:hint="eastAsia"/>
          <w:sz w:val="24"/>
        </w:rPr>
        <w:t>2020年宏观经济预测：</w:t>
      </w:r>
      <w:r>
        <w:rPr>
          <w:rFonts w:ascii="宋体" w:hAnsi="宋体" w:hint="eastAsia"/>
          <w:sz w:val="24"/>
        </w:rPr>
        <w:t>增长率、消费、投资、进出口、就业、赤字、基建、房地产、资本市场等总体判断</w:t>
      </w:r>
    </w:p>
    <w:p w14:paraId="014898C6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5、谨防发生系统性金融风险</w:t>
      </w:r>
    </w:p>
    <w:p w14:paraId="59198246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6、20</w:t>
      </w:r>
      <w:r w:rsidR="00D001FF">
        <w:rPr>
          <w:rFonts w:ascii="宋体" w:hAnsi="宋体" w:hint="eastAsia"/>
          <w:sz w:val="24"/>
        </w:rPr>
        <w:t>20</w:t>
      </w:r>
      <w:r>
        <w:rPr>
          <w:rFonts w:ascii="宋体" w:hAnsi="宋体" w:hint="eastAsia"/>
          <w:sz w:val="24"/>
        </w:rPr>
        <w:t>年中国经济需要警惕六大风险点</w:t>
      </w:r>
    </w:p>
    <w:p w14:paraId="42A7A6ED" w14:textId="77777777" w:rsidR="00F74675" w:rsidRDefault="00F7467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/>
          <w:bCs/>
          <w:color w:val="0000FF"/>
          <w:sz w:val="24"/>
        </w:rPr>
      </w:pPr>
    </w:p>
    <w:p w14:paraId="34BB9BD4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/>
          <w:bCs/>
          <w:color w:val="0000FF"/>
          <w:sz w:val="24"/>
        </w:rPr>
      </w:pPr>
      <w:r>
        <w:rPr>
          <w:rFonts w:ascii="宋体" w:hAnsi="宋体" w:hint="eastAsia"/>
          <w:b/>
          <w:bCs/>
          <w:color w:val="0000FF"/>
          <w:sz w:val="24"/>
        </w:rPr>
        <w:t>五、新风险：金融新周期与金融风险将影响建筑行业和房地产市场健康发展</w:t>
      </w:r>
    </w:p>
    <w:p w14:paraId="1C55E3AB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1、十九大报告指出，要“健全</w:t>
      </w:r>
      <w:hyperlink r:id="rId7" w:history="1">
        <w:r>
          <w:rPr>
            <w:rFonts w:ascii="宋体" w:hAnsi="宋体" w:hint="eastAsia"/>
            <w:sz w:val="24"/>
          </w:rPr>
          <w:t>金融</w:t>
        </w:r>
      </w:hyperlink>
      <w:r>
        <w:rPr>
          <w:rFonts w:ascii="宋体" w:hAnsi="宋体" w:hint="eastAsia"/>
          <w:sz w:val="24"/>
        </w:rPr>
        <w:t>监管体系，</w:t>
      </w:r>
      <w:hyperlink r:id="rId8" w:history="1">
        <w:r>
          <w:rPr>
            <w:rFonts w:ascii="宋体" w:hAnsi="宋体" w:hint="eastAsia"/>
            <w:sz w:val="24"/>
          </w:rPr>
          <w:t>守住</w:t>
        </w:r>
      </w:hyperlink>
      <w:r>
        <w:rPr>
          <w:rFonts w:ascii="宋体" w:hAnsi="宋体" w:hint="eastAsia"/>
          <w:sz w:val="24"/>
        </w:rPr>
        <w:t>不</w:t>
      </w:r>
      <w:hyperlink r:id="rId9" w:history="1">
        <w:r>
          <w:rPr>
            <w:rFonts w:ascii="宋体" w:hAnsi="宋体" w:hint="eastAsia"/>
            <w:sz w:val="24"/>
          </w:rPr>
          <w:t>发生</w:t>
        </w:r>
      </w:hyperlink>
      <w:hyperlink r:id="rId10" w:history="1">
        <w:r>
          <w:rPr>
            <w:rFonts w:ascii="宋体" w:hAnsi="宋体" w:hint="eastAsia"/>
            <w:sz w:val="24"/>
          </w:rPr>
          <w:t>系统性</w:t>
        </w:r>
      </w:hyperlink>
      <w:hyperlink r:id="rId11" w:history="1">
        <w:r>
          <w:rPr>
            <w:rFonts w:ascii="宋体" w:hAnsi="宋体" w:hint="eastAsia"/>
            <w:sz w:val="24"/>
          </w:rPr>
          <w:t>金融</w:t>
        </w:r>
      </w:hyperlink>
      <w:hyperlink r:id="rId12" w:history="1">
        <w:r>
          <w:rPr>
            <w:rFonts w:ascii="宋体" w:hAnsi="宋体" w:hint="eastAsia"/>
            <w:sz w:val="24"/>
          </w:rPr>
          <w:t>风险</w:t>
        </w:r>
      </w:hyperlink>
      <w:r>
        <w:rPr>
          <w:rFonts w:ascii="宋体" w:hAnsi="宋体" w:hint="eastAsia"/>
          <w:sz w:val="24"/>
        </w:rPr>
        <w:t>的</w:t>
      </w:r>
      <w:hyperlink r:id="rId13" w:history="1">
        <w:r>
          <w:rPr>
            <w:rFonts w:ascii="宋体" w:hAnsi="宋体" w:hint="eastAsia"/>
            <w:sz w:val="24"/>
          </w:rPr>
          <w:t>底线</w:t>
        </w:r>
      </w:hyperlink>
      <w:r>
        <w:rPr>
          <w:rFonts w:ascii="宋体" w:hAnsi="宋体" w:hint="eastAsia"/>
          <w:sz w:val="24"/>
        </w:rPr>
        <w:t>”</w:t>
      </w:r>
    </w:p>
    <w:p w14:paraId="260BCDD2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2、金融新周期</w:t>
      </w:r>
    </w:p>
    <w:p w14:paraId="2DE3BBB2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3、全球债务飙升 </w:t>
      </w:r>
    </w:p>
    <w:p w14:paraId="14A45D4E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4、警惕区域性金融风险蔓延 </w:t>
      </w:r>
    </w:p>
    <w:p w14:paraId="009C3150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 xml:space="preserve">5、地方政府债务风险 </w:t>
      </w:r>
    </w:p>
    <w:p w14:paraId="031C717B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6、企业债务风险</w:t>
      </w:r>
    </w:p>
    <w:p w14:paraId="753A1DA0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——案例：辽宁、山东企业债务危机</w:t>
      </w:r>
    </w:p>
    <w:p w14:paraId="518F7354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——案例：浙江慈溪建行不良率飙升的教训</w:t>
      </w:r>
    </w:p>
    <w:p w14:paraId="074833E9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——案例：</w:t>
      </w:r>
      <w:r>
        <w:rPr>
          <w:rFonts w:ascii="宋体" w:hAnsi="宋体"/>
          <w:sz w:val="24"/>
        </w:rPr>
        <w:t>无锡银行</w:t>
      </w:r>
      <w:r>
        <w:rPr>
          <w:rFonts w:ascii="宋体" w:hAnsi="宋体" w:hint="eastAsia"/>
          <w:sz w:val="24"/>
        </w:rPr>
        <w:t>：</w:t>
      </w:r>
      <w:r>
        <w:rPr>
          <w:rFonts w:ascii="宋体" w:hAnsi="宋体"/>
          <w:sz w:val="24"/>
        </w:rPr>
        <w:t>农商行盲目上市扩张的失败样本</w:t>
      </w:r>
    </w:p>
    <w:p w14:paraId="77FC35AD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7、部分中小银行面临破产清算威胁</w:t>
      </w:r>
    </w:p>
    <w:p w14:paraId="21A42B5B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8、资本管制：诡谲的人民币汇率</w:t>
      </w:r>
    </w:p>
    <w:p w14:paraId="321FFF20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9、生病的股市：个人理性与集体非理性</w:t>
      </w:r>
    </w:p>
    <w:p w14:paraId="108B49E4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10、投资理财的困惑：钱往何处去？</w:t>
      </w:r>
    </w:p>
    <w:p w14:paraId="4A9E6C72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11、百姓发现：只有房地产投资最稳妥</w:t>
      </w:r>
    </w:p>
    <w:p w14:paraId="3AB3293B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12、</w:t>
      </w:r>
      <w:r w:rsidR="00F44FFE">
        <w:rPr>
          <w:rFonts w:ascii="宋体" w:hAnsi="宋体" w:hint="eastAsia"/>
          <w:sz w:val="24"/>
        </w:rPr>
        <w:t>国家提出“房住不炒”</w:t>
      </w:r>
      <w:r w:rsidR="009115FD">
        <w:rPr>
          <w:rFonts w:ascii="宋体" w:hAnsi="宋体" w:hint="eastAsia"/>
          <w:sz w:val="24"/>
        </w:rPr>
        <w:t>，</w:t>
      </w:r>
      <w:r>
        <w:rPr>
          <w:rFonts w:ascii="宋体" w:hAnsi="宋体" w:hint="eastAsia"/>
          <w:sz w:val="24"/>
        </w:rPr>
        <w:t>建筑企业和房地产企业融资越来越难</w:t>
      </w:r>
    </w:p>
    <w:p w14:paraId="064191C8" w14:textId="77777777" w:rsidR="00F74675" w:rsidRPr="00F44FFE" w:rsidRDefault="00F7467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C8254DD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/>
          <w:bCs/>
          <w:color w:val="0000FF"/>
          <w:sz w:val="24"/>
        </w:rPr>
      </w:pPr>
      <w:r>
        <w:rPr>
          <w:rFonts w:ascii="宋体" w:hAnsi="宋体" w:hint="eastAsia"/>
          <w:b/>
          <w:bCs/>
          <w:color w:val="0000FF"/>
          <w:sz w:val="24"/>
        </w:rPr>
        <w:t>六、新预测：19大后中国经济走向预示建筑行业和房地产市场平稳发展</w:t>
      </w:r>
    </w:p>
    <w:p w14:paraId="4EFE6665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1、ZONGSHUJI：中国经济长期向好的前景是光明的</w:t>
      </w:r>
    </w:p>
    <w:p w14:paraId="10AB0ECE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2、19大后中国经济走向</w:t>
      </w:r>
    </w:p>
    <w:p w14:paraId="0D63ADB6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3、中央经济工作会议精神</w:t>
      </w:r>
    </w:p>
    <w:p w14:paraId="440BCD6C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4、我国长期向好支撑基建和房地产需求</w:t>
      </w:r>
    </w:p>
    <w:p w14:paraId="13D48BD1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5、基建和房地产市场健康发展是政府、百姓的共同愿望</w:t>
      </w:r>
    </w:p>
    <w:p w14:paraId="5C0493C3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——基础设施建设是经济发展的支撑条件</w:t>
      </w:r>
    </w:p>
    <w:p w14:paraId="36A57A94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——朱镕基：房地产拉动了一百多个产业发展</w:t>
      </w:r>
    </w:p>
    <w:p w14:paraId="055C5856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——地方财政压力</w:t>
      </w:r>
    </w:p>
    <w:p w14:paraId="42B5832E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——百姓财富保值</w:t>
      </w:r>
    </w:p>
    <w:p w14:paraId="48764E6E" w14:textId="77777777" w:rsidR="00F74675" w:rsidRDefault="00F7467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7DABC02D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/>
          <w:bCs/>
          <w:color w:val="0000FF"/>
          <w:sz w:val="24"/>
        </w:rPr>
      </w:pPr>
      <w:r>
        <w:rPr>
          <w:rFonts w:ascii="宋体" w:hAnsi="宋体" w:hint="eastAsia"/>
          <w:b/>
          <w:bCs/>
          <w:color w:val="0000FF"/>
          <w:sz w:val="24"/>
        </w:rPr>
        <w:t>七、新预测：我国建筑行业和房地产市场未来发展</w:t>
      </w:r>
    </w:p>
    <w:p w14:paraId="40F885F8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1、城镇化没有完成，粤港澳大湾区建设等区域一体化加速，基建和房地产市场需求大量存在，基建投资和房地产投资将继续发挥作用</w:t>
      </w:r>
    </w:p>
    <w:p w14:paraId="19384C3E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2、中西部地区的后发优势，中西部基建和房地产市场前景广阔</w:t>
      </w:r>
    </w:p>
    <w:p w14:paraId="1FD1B580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3、消费结构升级，广大中产阶层购房需求增加</w:t>
      </w:r>
    </w:p>
    <w:p w14:paraId="4B2CB435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4、我国未来经济持续增长支撑基建和房地产需求</w:t>
      </w:r>
    </w:p>
    <w:p w14:paraId="0D0A44C0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5、十九大提出，用“三大变革”推动中国经济“高质量发展”</w:t>
      </w:r>
    </w:p>
    <w:p w14:paraId="5DFC3804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——质量变革。未来是城市竞争，房子质量竞争</w:t>
      </w:r>
    </w:p>
    <w:p w14:paraId="2FFDC91F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——2013年城市家庭户均1套房，中国房地产市场出现拐点</w:t>
      </w:r>
    </w:p>
    <w:p w14:paraId="361971AB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——每次限购，房地产企业都会受到影响</w:t>
      </w:r>
    </w:p>
    <w:p w14:paraId="092A8AEF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</w:t>
      </w:r>
      <w:r>
        <w:rPr>
          <w:rFonts w:ascii="宋体" w:hAnsi="宋体"/>
          <w:sz w:val="24"/>
        </w:rPr>
        <w:t>十九大</w:t>
      </w:r>
      <w:r>
        <w:rPr>
          <w:rFonts w:ascii="宋体" w:hAnsi="宋体" w:hint="eastAsia"/>
          <w:sz w:val="24"/>
        </w:rPr>
        <w:t>提出</w:t>
      </w:r>
      <w:r>
        <w:rPr>
          <w:rFonts w:ascii="宋体" w:hAnsi="宋体"/>
          <w:sz w:val="24"/>
        </w:rPr>
        <w:t>，“高速增长要转向高品质增长”</w:t>
      </w:r>
      <w:r>
        <w:rPr>
          <w:rFonts w:ascii="宋体" w:hAnsi="宋体" w:hint="eastAsia"/>
          <w:sz w:val="24"/>
        </w:rPr>
        <w:t>。</w:t>
      </w:r>
      <w:r>
        <w:rPr>
          <w:rFonts w:ascii="宋体" w:hAnsi="宋体"/>
          <w:sz w:val="24"/>
        </w:rPr>
        <w:t>提高</w:t>
      </w:r>
      <w:r>
        <w:rPr>
          <w:rFonts w:ascii="宋体" w:hAnsi="宋体" w:hint="eastAsia"/>
          <w:sz w:val="24"/>
        </w:rPr>
        <w:t>住房</w:t>
      </w:r>
      <w:r>
        <w:rPr>
          <w:rFonts w:ascii="宋体" w:hAnsi="宋体"/>
          <w:sz w:val="24"/>
        </w:rPr>
        <w:t>品质</w:t>
      </w:r>
      <w:r>
        <w:rPr>
          <w:rFonts w:ascii="宋体" w:hAnsi="宋体" w:hint="eastAsia"/>
          <w:sz w:val="24"/>
        </w:rPr>
        <w:t>是</w:t>
      </w:r>
      <w:r>
        <w:rPr>
          <w:rFonts w:ascii="宋体" w:hAnsi="宋体"/>
          <w:sz w:val="24"/>
        </w:rPr>
        <w:t>全国消费者的心声，要引起</w:t>
      </w:r>
      <w:r>
        <w:rPr>
          <w:rFonts w:ascii="宋体" w:hAnsi="宋体" w:hint="eastAsia"/>
          <w:sz w:val="24"/>
        </w:rPr>
        <w:t>房地产企业</w:t>
      </w:r>
      <w:r>
        <w:rPr>
          <w:rFonts w:ascii="宋体" w:hAnsi="宋体"/>
          <w:sz w:val="24"/>
        </w:rPr>
        <w:t>的高度重视</w:t>
      </w:r>
    </w:p>
    <w:p w14:paraId="4020B62F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6、十九大报告提出，房子是用来住的，不是用来炒的。预示房地产市场将平稳发展。不会大起大落</w:t>
      </w:r>
    </w:p>
    <w:p w14:paraId="41FA0E3A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7、房价会涨还是跌？</w:t>
      </w:r>
    </w:p>
    <w:p w14:paraId="3100A927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——2017.5.12，人民日报发文：房价上涨是必然趋势</w:t>
      </w:r>
    </w:p>
    <w:p w14:paraId="01660E18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——论经济体量，中国和美国最为相像；论土地制度，中国又是香港式的；论人口结构，中国向日本靠拢。再加上调控，所以房价的问题很复杂</w:t>
      </w:r>
    </w:p>
    <w:p w14:paraId="433768CA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——房地产周期：长期看人口、中期看土地、短期看金融</w:t>
      </w:r>
    </w:p>
    <w:p w14:paraId="3FBBDE75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8、人口老龄化加速影响房地产</w:t>
      </w:r>
    </w:p>
    <w:p w14:paraId="255201FA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——从人口结构上看，大概率上2030年是房地产和房价的转折点</w:t>
      </w:r>
    </w:p>
    <w:p w14:paraId="562294A2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9、土地制度政策变化影响房地产</w:t>
      </w:r>
    </w:p>
    <w:p w14:paraId="07ACE944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——政府土地供给是放松还是收紧？</w:t>
      </w:r>
    </w:p>
    <w:p w14:paraId="0F7D8416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——政府将不再是居住用地唯一供应者、农村宅基地“三权分置”</w:t>
      </w:r>
    </w:p>
    <w:p w14:paraId="5D41042D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——全国国土资源工作会议释放两大信号，呼应的是推动建立多主体供应、多渠道保障、租购并举的住房制度</w:t>
      </w:r>
    </w:p>
    <w:p w14:paraId="224A176E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10、短期金融收紧，影响百姓购买力</w:t>
      </w:r>
    </w:p>
    <w:p w14:paraId="0F718BB7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——货币增速放缓，国家实行宏观审慎货币政策</w:t>
      </w:r>
    </w:p>
    <w:p w14:paraId="12099A2A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——加息、限贷等一系列手段，金融收紧</w:t>
      </w:r>
    </w:p>
    <w:p w14:paraId="156BF6F5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——居民负债大幅激增，但负债绝对值远低于美国、日本</w:t>
      </w:r>
    </w:p>
    <w:p w14:paraId="69EDC33C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——房地产企业借外债的大门被关</w:t>
      </w:r>
    </w:p>
    <w:p w14:paraId="6167B168" w14:textId="77777777" w:rsidR="00F74675" w:rsidRDefault="00F7467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20DD01A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/>
          <w:bCs/>
          <w:color w:val="0000FF"/>
          <w:sz w:val="24"/>
        </w:rPr>
      </w:pPr>
      <w:r>
        <w:rPr>
          <w:rFonts w:ascii="宋体" w:hAnsi="宋体" w:hint="eastAsia"/>
          <w:b/>
          <w:bCs/>
          <w:color w:val="0000FF"/>
          <w:sz w:val="24"/>
        </w:rPr>
        <w:t>八、新政策：我国基建政策和房地产政策的变化和影响</w:t>
      </w:r>
    </w:p>
    <w:p w14:paraId="46F54FCF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1、基建政策变化和影响</w:t>
      </w:r>
    </w:p>
    <w:p w14:paraId="4C039449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——2018年10月31日，国务院办公厅下发国办发〔2018〕101号文《关于保持基础设施领域补短板力度的指导意见》，提出由于2018年以来基础设施投资增速回落较多，亟需聚焦基础设施领域突出短板。</w:t>
      </w:r>
    </w:p>
    <w:p w14:paraId="405C976D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——主要精神：加大基建补短板力度，融资平台、PPP、专项债、贷款保驾护航。</w:t>
      </w:r>
    </w:p>
    <w:p w14:paraId="3B2A0172" w14:textId="77777777" w:rsidR="00F74675" w:rsidRDefault="00F7467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55864BE1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——2008年10月的基建托底，典型特征是“力度大”（4万亿资金注入）、“落地快”（在10月的常务会议上，就核准一批建设项目）。</w:t>
      </w:r>
    </w:p>
    <w:p w14:paraId="7E50D572" w14:textId="54EA68C4" w:rsidR="0092529C" w:rsidRDefault="0092529C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——2019年以来，经济下行期，投资不旺的情况下，基建托底是大势所趋</w:t>
      </w:r>
    </w:p>
    <w:p w14:paraId="1C19CBEF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2、房地产政策变化和影响</w:t>
      </w:r>
    </w:p>
    <w:p w14:paraId="24B15775" w14:textId="6FA41178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——自2016</w:t>
      </w:r>
      <w:r w:rsidR="0092529C">
        <w:rPr>
          <w:rFonts w:ascii="宋体" w:hAnsi="宋体" w:hint="eastAsia"/>
          <w:sz w:val="24"/>
        </w:rPr>
        <w:t>年四季度以来</w:t>
      </w:r>
      <w:r>
        <w:rPr>
          <w:rFonts w:ascii="宋体" w:hAnsi="宋体" w:hint="eastAsia"/>
          <w:sz w:val="24"/>
        </w:rPr>
        <w:t>，中国楼市进入“五限时代”</w:t>
      </w:r>
    </w:p>
    <w:p w14:paraId="4274EFDB" w14:textId="7B5C86C3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</w:t>
      </w:r>
      <w:r w:rsidR="0092529C">
        <w:rPr>
          <w:rFonts w:ascii="宋体" w:hAnsi="宋体" w:hint="eastAsia"/>
          <w:sz w:val="24"/>
        </w:rPr>
        <w:t>中央提出“房住不炒”</w:t>
      </w:r>
    </w:p>
    <w:p w14:paraId="2A46DB6C" w14:textId="2A2F9416" w:rsidR="0092529C" w:rsidRDefault="0092529C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——银行贷款、发行债券、海外融资等融资渠道被限制</w:t>
      </w:r>
    </w:p>
    <w:p w14:paraId="1B2281EC" w14:textId="77777777" w:rsidR="00F74675" w:rsidRDefault="00F7467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15DEFAA7" w14:textId="1585E50A" w:rsidR="000E3CE2" w:rsidRDefault="000E3CE2" w:rsidP="000E3CE2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/>
          <w:bCs/>
          <w:color w:val="0000FF"/>
          <w:sz w:val="24"/>
        </w:rPr>
      </w:pPr>
      <w:r>
        <w:rPr>
          <w:rFonts w:ascii="宋体" w:hAnsi="宋体" w:hint="eastAsia"/>
          <w:b/>
          <w:bCs/>
          <w:color w:val="0000FF"/>
          <w:sz w:val="24"/>
        </w:rPr>
        <w:t>九、新</w:t>
      </w:r>
      <w:r w:rsidR="00F441BA">
        <w:rPr>
          <w:rFonts w:ascii="宋体" w:hAnsi="宋体" w:hint="eastAsia"/>
          <w:b/>
          <w:bCs/>
          <w:color w:val="0000FF"/>
          <w:sz w:val="24"/>
        </w:rPr>
        <w:t>机遇</w:t>
      </w:r>
      <w:r>
        <w:rPr>
          <w:rFonts w:ascii="宋体" w:hAnsi="宋体" w:hint="eastAsia"/>
          <w:b/>
          <w:bCs/>
          <w:color w:val="0000FF"/>
          <w:sz w:val="24"/>
        </w:rPr>
        <w:t>：</w:t>
      </w:r>
      <w:r w:rsidR="00F441BA">
        <w:rPr>
          <w:rFonts w:ascii="宋体" w:hAnsi="宋体" w:hint="eastAsia"/>
          <w:b/>
          <w:bCs/>
          <w:color w:val="0000FF"/>
          <w:sz w:val="24"/>
        </w:rPr>
        <w:t>长三角一体化发展战略给</w:t>
      </w:r>
      <w:r>
        <w:rPr>
          <w:rFonts w:ascii="宋体" w:hAnsi="宋体" w:hint="eastAsia"/>
          <w:b/>
          <w:bCs/>
          <w:color w:val="0000FF"/>
          <w:sz w:val="24"/>
        </w:rPr>
        <w:t>建筑企业和房地产企业</w:t>
      </w:r>
      <w:r w:rsidR="00F441BA">
        <w:rPr>
          <w:rFonts w:ascii="宋体" w:hAnsi="宋体" w:hint="eastAsia"/>
          <w:b/>
          <w:bCs/>
          <w:color w:val="0000FF"/>
          <w:sz w:val="24"/>
        </w:rPr>
        <w:t>带来的机遇与挑战</w:t>
      </w:r>
    </w:p>
    <w:p w14:paraId="264289D3" w14:textId="552C623E" w:rsidR="00405802" w:rsidRPr="000E3CE2" w:rsidRDefault="00F441B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1、长三角一体化发展战略</w:t>
      </w:r>
    </w:p>
    <w:p w14:paraId="61AE1D1F" w14:textId="50351B0A" w:rsidR="00405802" w:rsidRDefault="00F441B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2、交通等基础设施一体化是长三角一体化一体化的应有之义</w:t>
      </w:r>
    </w:p>
    <w:p w14:paraId="205B34FD" w14:textId="37A1A47E" w:rsidR="00F441BA" w:rsidRPr="00F441BA" w:rsidRDefault="00F441B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</w:t>
      </w:r>
      <w:r w:rsidRPr="00F441BA">
        <w:rPr>
          <w:rFonts w:ascii="宋体" w:hAnsi="宋体" w:hint="eastAsia"/>
          <w:sz w:val="24"/>
        </w:rPr>
        <w:t>长三角一体化发展战略给建筑企业和房地产企业带来的机遇</w:t>
      </w:r>
    </w:p>
    <w:p w14:paraId="4F3038C2" w14:textId="4D5D9D5F" w:rsidR="00F441BA" w:rsidRPr="00F441BA" w:rsidRDefault="00F441B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F441BA">
        <w:rPr>
          <w:rFonts w:ascii="宋体" w:hAnsi="宋体" w:hint="eastAsia"/>
          <w:sz w:val="24"/>
        </w:rPr>
        <w:t>——长三角一体化发展必然带来人口集聚、城镇化发展、基础设施建设加速</w:t>
      </w:r>
    </w:p>
    <w:p w14:paraId="2E95871B" w14:textId="1B6B2D4A" w:rsidR="00F441BA" w:rsidRPr="00F441BA" w:rsidRDefault="00F441B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F441BA">
        <w:rPr>
          <w:rFonts w:ascii="宋体" w:hAnsi="宋体" w:hint="eastAsia"/>
          <w:sz w:val="24"/>
        </w:rPr>
        <w:t>4、长三角一体化发展战略给建筑企业和房地产企业带来的挑战</w:t>
      </w:r>
    </w:p>
    <w:p w14:paraId="79B5394F" w14:textId="20AB56FA" w:rsidR="00F441BA" w:rsidRPr="00F441BA" w:rsidRDefault="00F441B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 w:rsidRPr="00F441BA">
        <w:rPr>
          <w:rFonts w:ascii="宋体" w:hAnsi="宋体" w:hint="eastAsia"/>
          <w:sz w:val="24"/>
        </w:rPr>
        <w:t>——长三角一体化发展必然给建筑企业和房地产企业在技术水平、服务水平等方面带来更高的要求</w:t>
      </w:r>
    </w:p>
    <w:p w14:paraId="6FA01450" w14:textId="77777777" w:rsidR="00405802" w:rsidRDefault="00405802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6B382A09" w14:textId="088C8DE0" w:rsidR="00F74675" w:rsidRDefault="00F441B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/>
          <w:bCs/>
          <w:color w:val="0000FF"/>
          <w:sz w:val="24"/>
        </w:rPr>
      </w:pPr>
      <w:r>
        <w:rPr>
          <w:rFonts w:ascii="宋体" w:hAnsi="宋体" w:hint="eastAsia"/>
          <w:b/>
          <w:bCs/>
          <w:color w:val="0000FF"/>
          <w:sz w:val="24"/>
        </w:rPr>
        <w:t>十</w:t>
      </w:r>
      <w:r w:rsidR="001A496A">
        <w:rPr>
          <w:rFonts w:ascii="宋体" w:hAnsi="宋体" w:hint="eastAsia"/>
          <w:b/>
          <w:bCs/>
          <w:color w:val="0000FF"/>
          <w:sz w:val="24"/>
        </w:rPr>
        <w:t>、新应对：新政策下建筑企业和房地产企业的应对</w:t>
      </w:r>
    </w:p>
    <w:p w14:paraId="64B1878A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1、建筑领域新资质标准的出台将使建筑业面临重新洗牌，建筑企业的发展趋势是“大而全”、“专而精”。</w:t>
      </w:r>
    </w:p>
    <w:p w14:paraId="09A9A51C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2、建筑企业应紧紧抓住PPP的发展机遇，提早介入综合管廊、海绵城市、特色小镇等新兴领域，大力发展装配式建筑，注重BIM技术（建筑信息化模型）的应用，全方位提升内部管理水平。</w:t>
      </w:r>
    </w:p>
    <w:p w14:paraId="4C2FCCD5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3、紧紧围绕产业政策导向</w:t>
      </w:r>
    </w:p>
    <w:p w14:paraId="3423E746" w14:textId="48AC80AE" w:rsidR="00F441BA" w:rsidRDefault="00F441B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4、充分利用</w:t>
      </w:r>
      <w:r w:rsidRPr="00F441BA">
        <w:rPr>
          <w:rFonts w:ascii="宋体" w:hAnsi="宋体" w:hint="eastAsia"/>
          <w:sz w:val="24"/>
        </w:rPr>
        <w:t>长三角一体化发展战略给建筑企业和房地产企业带来的机遇，提升自身业务水平</w:t>
      </w:r>
      <w:r>
        <w:rPr>
          <w:rFonts w:ascii="宋体" w:hAnsi="宋体" w:hint="eastAsia"/>
          <w:sz w:val="24"/>
        </w:rPr>
        <w:t>和可持续发展能力，打造百年企业</w:t>
      </w:r>
    </w:p>
    <w:p w14:paraId="60D1E0EB" w14:textId="7318AA0D" w:rsidR="00F74675" w:rsidRDefault="00F441B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5</w:t>
      </w:r>
      <w:r w:rsidR="001A496A">
        <w:rPr>
          <w:rFonts w:ascii="宋体" w:hAnsi="宋体" w:hint="eastAsia"/>
          <w:sz w:val="24"/>
        </w:rPr>
        <w:t>、新形势下建筑企业如何融资</w:t>
      </w:r>
    </w:p>
    <w:p w14:paraId="6EAE7388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——建筑企业融资方法九大招</w:t>
      </w:r>
    </w:p>
    <w:p w14:paraId="35931248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——新形势下建筑企业新融资模式</w:t>
      </w:r>
    </w:p>
    <w:p w14:paraId="663120F5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——发行绿色债券</w:t>
      </w:r>
    </w:p>
    <w:p w14:paraId="05CA37D1" w14:textId="0FF40AA9" w:rsidR="00F74675" w:rsidRDefault="00F441B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6</w:t>
      </w:r>
      <w:r w:rsidR="001A496A">
        <w:rPr>
          <w:rFonts w:ascii="宋体" w:hAnsi="宋体" w:hint="eastAsia"/>
          <w:sz w:val="24"/>
        </w:rPr>
        <w:t>、房地产企业的应对</w:t>
      </w:r>
    </w:p>
    <w:p w14:paraId="39CBF41D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——做好自己的事情</w:t>
      </w:r>
    </w:p>
    <w:p w14:paraId="6060D64C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——做好产品，造好房子</w:t>
      </w:r>
    </w:p>
    <w:p w14:paraId="7E0A12AC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——未雨绸缪。系好安全带</w:t>
      </w:r>
    </w:p>
    <w:p w14:paraId="637B545B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——新形势下房地产企业如何融资</w:t>
      </w:r>
    </w:p>
    <w:p w14:paraId="0D601B47" w14:textId="77777777" w:rsidR="00F74675" w:rsidRDefault="00F74675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sz w:val="24"/>
        </w:rPr>
      </w:pPr>
    </w:p>
    <w:p w14:paraId="3B031BB4" w14:textId="77777777" w:rsidR="00F74675" w:rsidRDefault="001A496A">
      <w:pPr>
        <w:adjustRightInd w:val="0"/>
        <w:snapToGrid w:val="0"/>
        <w:spacing w:line="360" w:lineRule="auto"/>
        <w:ind w:firstLineChars="200" w:firstLine="480"/>
        <w:rPr>
          <w:rFonts w:ascii="宋体" w:hAnsi="宋体"/>
          <w:b/>
          <w:bCs/>
          <w:color w:val="0000FF"/>
          <w:sz w:val="24"/>
        </w:rPr>
      </w:pPr>
      <w:r>
        <w:rPr>
          <w:rFonts w:ascii="宋体" w:hAnsi="宋体" w:hint="eastAsia"/>
          <w:b/>
          <w:bCs/>
          <w:color w:val="0000FF"/>
          <w:sz w:val="24"/>
        </w:rPr>
        <w:t>长风破浪会有时，直挂云帆济沧海！</w:t>
      </w:r>
    </w:p>
    <w:p w14:paraId="014AA8FA" w14:textId="77777777" w:rsidR="00F74675" w:rsidRDefault="001A496A">
      <w:pPr>
        <w:adjustRightInd w:val="0"/>
        <w:snapToGrid w:val="0"/>
        <w:spacing w:line="360" w:lineRule="auto"/>
        <w:ind w:firstLineChars="200" w:firstLine="480"/>
      </w:pPr>
      <w:r>
        <w:rPr>
          <w:rFonts w:ascii="宋体" w:hAnsi="宋体" w:hint="eastAsia"/>
          <w:b/>
          <w:bCs/>
          <w:color w:val="0000FF"/>
          <w:sz w:val="24"/>
        </w:rPr>
        <w:t>祝大家事业顺利，身体健康！</w:t>
      </w:r>
    </w:p>
    <w:sectPr w:rsidR="00F74675">
      <w:footerReference w:type="default" r:id="rId1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3FBD41" w14:textId="77777777" w:rsidR="00B45B92" w:rsidRDefault="00B45B92">
      <w:r>
        <w:separator/>
      </w:r>
    </w:p>
  </w:endnote>
  <w:endnote w:type="continuationSeparator" w:id="0">
    <w:p w14:paraId="4EC67509" w14:textId="77777777" w:rsidR="00B45B92" w:rsidRDefault="00B45B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C3F8F76" w14:textId="77777777" w:rsidR="00F74675" w:rsidRDefault="001A496A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7887CFC" wp14:editId="6A2FA0EB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64770" cy="14605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4770" cy="14605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403D3B40" w14:textId="77777777" w:rsidR="00F74675" w:rsidRDefault="001A496A"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 w:rsidR="00FC15D4">
                            <w:rPr>
                              <w:noProof/>
                              <w:sz w:val="18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17887CFC" id="_x0000_t202" coordsize="21600,21600" o:spt="202" path="m0,0l0,21600,21600,21600,21600,0xe">
              <v:stroke joinstyle="miter"/>
              <v:path gradientshapeok="t" o:connecttype="rect"/>
            </v:shapetype>
            <v:shape id="文本框 1" o:spid="_x0000_s1026" type="#_x0000_t202" style="position:absolute;margin-left:0;margin-top:0;width:5.1pt;height:11.5pt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" filled="f" stroked="f" strokeweight=".5pt">
              <v:textbox style="mso-fit-shape-to-text:t" inset="0,0,0,0">
                <w:txbxContent>
                  <w:p w14:paraId="403D3B40" w14:textId="77777777" w:rsidR="00F74675" w:rsidRDefault="001A496A"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 w:rsidR="0092529C">
                      <w:rPr>
                        <w:noProof/>
                        <w:sz w:val="18"/>
                      </w:rPr>
                      <w:t>4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988F016" w14:textId="77777777" w:rsidR="00B45B92" w:rsidRDefault="00B45B92">
      <w:r>
        <w:separator/>
      </w:r>
    </w:p>
  </w:footnote>
  <w:footnote w:type="continuationSeparator" w:id="0">
    <w:p w14:paraId="28627EE7" w14:textId="77777777" w:rsidR="00B45B92" w:rsidRDefault="00B45B9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5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D822AAE"/>
    <w:rsid w:val="000E3CE2"/>
    <w:rsid w:val="00163EAA"/>
    <w:rsid w:val="001A496A"/>
    <w:rsid w:val="00213CBE"/>
    <w:rsid w:val="002A475C"/>
    <w:rsid w:val="002E1D35"/>
    <w:rsid w:val="00405802"/>
    <w:rsid w:val="00532F58"/>
    <w:rsid w:val="0056227C"/>
    <w:rsid w:val="006707C9"/>
    <w:rsid w:val="0068050C"/>
    <w:rsid w:val="009115FD"/>
    <w:rsid w:val="0092529C"/>
    <w:rsid w:val="00972188"/>
    <w:rsid w:val="00975A9D"/>
    <w:rsid w:val="00B45B92"/>
    <w:rsid w:val="00B504E5"/>
    <w:rsid w:val="00B67759"/>
    <w:rsid w:val="00B74DAB"/>
    <w:rsid w:val="00D001FF"/>
    <w:rsid w:val="00E77836"/>
    <w:rsid w:val="00F441BA"/>
    <w:rsid w:val="00F44FFE"/>
    <w:rsid w:val="00F74675"/>
    <w:rsid w:val="00FC15D4"/>
    <w:rsid w:val="07466379"/>
    <w:rsid w:val="15831DA3"/>
    <w:rsid w:val="1997446F"/>
    <w:rsid w:val="2EA63927"/>
    <w:rsid w:val="3D822AAE"/>
    <w:rsid w:val="4CEA2BCF"/>
    <w:rsid w:val="56373A54"/>
    <w:rsid w:val="59E81E2F"/>
    <w:rsid w:val="6A274E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ecimalSymbol w:val="."/>
  <w:listSeparator w:val=","/>
  <w14:docId w14:val="7B06F16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82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Note Level 1" w:semiHidden="1" w:uiPriority="99" w:unhideWhenUsed="1"/>
    <w:lsdException w:name="Note Level 2" w:semiHidden="1" w:uiPriority="99" w:unhideWhenUsed="1"/>
    <w:lsdException w:name="Note Level 3" w:semiHidden="1" w:uiPriority="99" w:unhideWhenUsed="1"/>
    <w:lsdException w:name="Note Level 4" w:semiHidden="1" w:uiPriority="99" w:unhideWhenUsed="1"/>
    <w:lsdException w:name="Note Level 5" w:semiHidden="1" w:uiPriority="99" w:unhideWhenUsed="1"/>
    <w:lsdException w:name="Note Level 6" w:semiHidden="1" w:uiPriority="99" w:unhideWhenUsed="1"/>
    <w:lsdException w:name="Note Level 7" w:semiHidden="1" w:uiPriority="99" w:unhideWhenUsed="1"/>
    <w:lsdException w:name="Note Level 8" w:semiHidden="1" w:uiPriority="99" w:unhideWhenUsed="1"/>
    <w:lsdException w:name="Note Level 9" w:semiHidden="1" w:uiPriority="99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s://www.minshengwang.com/caijing/599334.html" TargetMode="External"/><Relationship Id="rId12" Type="http://schemas.openxmlformats.org/officeDocument/2006/relationships/hyperlink" Target="https://www.minshengwang.com/shehui/588430.html" TargetMode="External"/><Relationship Id="rId13" Type="http://schemas.openxmlformats.org/officeDocument/2006/relationships/hyperlink" Target="https://www.minshengwang.com/yulebagua/yule/607526.html" TargetMode="External"/><Relationship Id="rId14" Type="http://schemas.openxmlformats.org/officeDocument/2006/relationships/footer" Target="foot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yperlink" Target="https://www.minshengwang.com/caijing/599334.html" TargetMode="External"/><Relationship Id="rId8" Type="http://schemas.openxmlformats.org/officeDocument/2006/relationships/hyperlink" Target="https://www.minshengwang.com/sannong/587142.html" TargetMode="External"/><Relationship Id="rId9" Type="http://schemas.openxmlformats.org/officeDocument/2006/relationships/hyperlink" Target="https://www.minshengwang.com/junshi/592673.html" TargetMode="External"/><Relationship Id="rId10" Type="http://schemas.openxmlformats.org/officeDocument/2006/relationships/hyperlink" Target="https://www.minshengwang.com/caijing/635905.html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7</Pages>
  <Words>604</Words>
  <Characters>3447</Characters>
  <Application>Microsoft Macintosh Word</Application>
  <DocSecurity>0</DocSecurity>
  <Lines>28</Lines>
  <Paragraphs>8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4043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Wang</dc:creator>
  <cp:lastModifiedBy>教授 王</cp:lastModifiedBy>
  <cp:revision>5</cp:revision>
  <dcterms:created xsi:type="dcterms:W3CDTF">2019-01-24T09:08:00Z</dcterms:created>
  <dcterms:modified xsi:type="dcterms:W3CDTF">2019-11-13T03:07:00Z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