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/>
          <w:b/>
          <w:bCs/>
          <w:sz w:val="30"/>
          <w:szCs w:val="30"/>
          <w:lang w:val="en-US" w:eastAsia="zh-CN"/>
        </w:rPr>
        <w:t>宏观经济形势、房地产市场发展、5G发展与房地产企业转型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王传宝</w:t>
      </w:r>
    </w:p>
    <w:p>
      <w:pPr>
        <w:adjustRightInd w:val="0"/>
        <w:snapToGrid w:val="0"/>
        <w:spacing w:line="360" w:lineRule="auto"/>
        <w:ind w:firstLine="480" w:firstLineChars="200"/>
        <w:jc w:val="center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时长：1天。可根据客户要求，调整课纲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jc w:val="center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讲座提纲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一、世界经济形势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1、世界经济新平庸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——世界经济复苏格局预测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——随时可能发生的新金融危机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2、世界经济周期与新工业革命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——全球长波周期划分（康得拉季耶夫周期）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——工业革命、技术变革与城市化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3、美国降息为何搅动世界经济局势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4、美联储缩表：全球资金回流美国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5、特朗普冲击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二、中国经济中长期发展趋势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1、宏观经济分析的基本框架：总需求与总供给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2、需求三架马车分析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（1）消费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（2）投资：民间投资告急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（3）出口：进出口增速回落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3、供给侧分析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（1）人口问题：未富先老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（2）资源环境问题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（3）科技创新问题：对创新的重要性怎么强调都不过分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4、经济增长的三大动力来源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/>
          <w:sz w:val="24"/>
          <w:lang w:val="en-US" w:eastAsia="zh-CN"/>
        </w:rPr>
        <w:t>5、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近年中国出现的几个重要拐点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b w:val="0"/>
          <w:bCs w:val="0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sz w:val="24"/>
          <w:lang w:val="en-US" w:eastAsia="zh-CN"/>
        </w:rPr>
        <w:t>6、官方政策频出稳增长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b w:val="0"/>
          <w:bCs w:val="0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sz w:val="24"/>
          <w:lang w:val="en-US" w:eastAsia="zh-CN"/>
        </w:rPr>
        <w:t>7、对我国未来经济增长的基本判断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三、经济新常态、中美贸易战与实体经济发展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1、什么是新常态？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2、经济L型走势：1978年-2020年中国GDP增长速度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sz w:val="24"/>
          <w:lang w:val="en-US" w:eastAsia="zh-CN"/>
        </w:rPr>
        <w:t>3、</w:t>
      </w:r>
      <w:r>
        <w:rPr>
          <w:rFonts w:hint="eastAsia" w:ascii="宋体" w:hAnsi="宋体"/>
          <w:sz w:val="24"/>
          <w:lang w:val="en-US" w:eastAsia="zh-CN"/>
        </w:rPr>
        <w:t>实体经济步履维艰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——中国工业增长速度下滑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——资金脱实向虚：实体经济步履维艰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——资本外逃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——外储减少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——当前企业面临六大问题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——当前企业面临的五大危机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——企业倒闭潮的四种推动力量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4、房地产、汇率、股市等热点问题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——房地产虚火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——人民币贬值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——诡谲的汇率：蒙代尔不可能三角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——人民币国际化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——生病的股市：个人理性与集体非理性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——科创板的前景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5、人脉就是钱脉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6、中美贸易战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——中美贸易战爆发的原因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——特朗普自传《做交易的艺术》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——中美贸易战的进程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——中美贸易战的现实和可能影响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——中美贸易磋商取得第一阶段成果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——中美贸易战的三种可能结果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——中国的应对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default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四、当前宏观经济形势与2020年宏观经济形势研判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1、客观判断经济发展趋势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2、克强指数看经济冷暖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——山东、深圳、石家庄等地2019年三季度经济数据不乐观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3、PMI不容乐观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4、从PPI、CPI看通胀/通缩隐忧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5、2020年宏观经济形势研判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6、中央经济工作会议、中共中央政治局会议、国常会对经济形势的判断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7、2020年经济预测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——增长率、物价、消费、投资、进出口、就业、赤字、基建、房地产、资本市场等总体判断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五、新风险：金融新周期与金融风险将影响房地产市场健康发展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1、十九大报告指出，要“健全</w:t>
      </w:r>
      <w:r>
        <w:rPr>
          <w:rFonts w:hint="eastAsia" w:ascii="宋体" w:hAnsi="宋体"/>
          <w:sz w:val="24"/>
          <w:lang w:val="en-US" w:eastAsia="zh-CN"/>
        </w:rPr>
        <w:fldChar w:fldCharType="begin"/>
      </w:r>
      <w:r>
        <w:rPr>
          <w:rFonts w:hint="eastAsia" w:ascii="宋体" w:hAnsi="宋体"/>
          <w:sz w:val="24"/>
          <w:lang w:val="en-US" w:eastAsia="zh-CN"/>
        </w:rPr>
        <w:instrText xml:space="preserve"> HYPERLINK "https://www.minshengwang.com/caijing/599334.html" </w:instrText>
      </w:r>
      <w:r>
        <w:rPr>
          <w:rFonts w:hint="eastAsia" w:ascii="宋体" w:hAnsi="宋体"/>
          <w:sz w:val="24"/>
          <w:lang w:val="en-US" w:eastAsia="zh-CN"/>
        </w:rPr>
        <w:fldChar w:fldCharType="separate"/>
      </w:r>
      <w:r>
        <w:rPr>
          <w:rFonts w:hint="eastAsia" w:ascii="宋体" w:hAnsi="宋体"/>
          <w:sz w:val="24"/>
          <w:lang w:val="en-US" w:eastAsia="zh-CN"/>
        </w:rPr>
        <w:t>金融</w:t>
      </w:r>
      <w:r>
        <w:rPr>
          <w:rFonts w:hint="eastAsia" w:ascii="宋体" w:hAnsi="宋体"/>
          <w:sz w:val="24"/>
          <w:lang w:val="en-US" w:eastAsia="zh-CN"/>
        </w:rPr>
        <w:fldChar w:fldCharType="end"/>
      </w:r>
      <w:r>
        <w:rPr>
          <w:rFonts w:hint="eastAsia" w:ascii="宋体" w:hAnsi="宋体"/>
          <w:sz w:val="24"/>
          <w:lang w:val="en-US" w:eastAsia="zh-CN"/>
        </w:rPr>
        <w:t>监管体系，</w:t>
      </w:r>
      <w:r>
        <w:rPr>
          <w:rFonts w:hint="eastAsia" w:ascii="宋体" w:hAnsi="宋体"/>
          <w:sz w:val="24"/>
          <w:lang w:val="en-US" w:eastAsia="zh-CN"/>
        </w:rPr>
        <w:fldChar w:fldCharType="begin"/>
      </w:r>
      <w:r>
        <w:rPr>
          <w:rFonts w:hint="eastAsia" w:ascii="宋体" w:hAnsi="宋体"/>
          <w:sz w:val="24"/>
          <w:lang w:val="en-US" w:eastAsia="zh-CN"/>
        </w:rPr>
        <w:instrText xml:space="preserve"> HYPERLINK "https://www.minshengwang.com/sannong/587142.html" </w:instrText>
      </w:r>
      <w:r>
        <w:rPr>
          <w:rFonts w:hint="eastAsia" w:ascii="宋体" w:hAnsi="宋体"/>
          <w:sz w:val="24"/>
          <w:lang w:val="en-US" w:eastAsia="zh-CN"/>
        </w:rPr>
        <w:fldChar w:fldCharType="separate"/>
      </w:r>
      <w:r>
        <w:rPr>
          <w:rFonts w:hint="eastAsia" w:ascii="宋体" w:hAnsi="宋体"/>
          <w:sz w:val="24"/>
          <w:lang w:val="en-US" w:eastAsia="zh-CN"/>
        </w:rPr>
        <w:t>守住</w:t>
      </w:r>
      <w:r>
        <w:rPr>
          <w:rFonts w:hint="eastAsia" w:ascii="宋体" w:hAnsi="宋体"/>
          <w:sz w:val="24"/>
          <w:lang w:val="en-US" w:eastAsia="zh-CN"/>
        </w:rPr>
        <w:fldChar w:fldCharType="end"/>
      </w:r>
      <w:r>
        <w:rPr>
          <w:rFonts w:hint="eastAsia" w:ascii="宋体" w:hAnsi="宋体"/>
          <w:sz w:val="24"/>
          <w:lang w:val="en-US" w:eastAsia="zh-CN"/>
        </w:rPr>
        <w:t>不</w:t>
      </w:r>
      <w:r>
        <w:rPr>
          <w:rFonts w:hint="eastAsia" w:ascii="宋体" w:hAnsi="宋体"/>
          <w:sz w:val="24"/>
          <w:lang w:val="en-US" w:eastAsia="zh-CN"/>
        </w:rPr>
        <w:fldChar w:fldCharType="begin"/>
      </w:r>
      <w:r>
        <w:rPr>
          <w:rFonts w:hint="eastAsia" w:ascii="宋体" w:hAnsi="宋体"/>
          <w:sz w:val="24"/>
          <w:lang w:val="en-US" w:eastAsia="zh-CN"/>
        </w:rPr>
        <w:instrText xml:space="preserve"> HYPERLINK "https://www.minshengwang.com/junshi/592673.html" </w:instrText>
      </w:r>
      <w:r>
        <w:rPr>
          <w:rFonts w:hint="eastAsia" w:ascii="宋体" w:hAnsi="宋体"/>
          <w:sz w:val="24"/>
          <w:lang w:val="en-US" w:eastAsia="zh-CN"/>
        </w:rPr>
        <w:fldChar w:fldCharType="separate"/>
      </w:r>
      <w:r>
        <w:rPr>
          <w:rFonts w:hint="eastAsia" w:ascii="宋体" w:hAnsi="宋体"/>
          <w:sz w:val="24"/>
          <w:lang w:val="en-US" w:eastAsia="zh-CN"/>
        </w:rPr>
        <w:t>发生</w:t>
      </w:r>
      <w:r>
        <w:rPr>
          <w:rFonts w:hint="eastAsia" w:ascii="宋体" w:hAnsi="宋体"/>
          <w:sz w:val="24"/>
          <w:lang w:val="en-US" w:eastAsia="zh-CN"/>
        </w:rPr>
        <w:fldChar w:fldCharType="end"/>
      </w:r>
      <w:r>
        <w:rPr>
          <w:rFonts w:hint="eastAsia" w:ascii="宋体" w:hAnsi="宋体"/>
          <w:sz w:val="24"/>
          <w:lang w:val="en-US" w:eastAsia="zh-CN"/>
        </w:rPr>
        <w:fldChar w:fldCharType="begin"/>
      </w:r>
      <w:r>
        <w:rPr>
          <w:rFonts w:hint="eastAsia" w:ascii="宋体" w:hAnsi="宋体"/>
          <w:sz w:val="24"/>
          <w:lang w:val="en-US" w:eastAsia="zh-CN"/>
        </w:rPr>
        <w:instrText xml:space="preserve"> HYPERLINK "https://www.minshengwang.com/caijing/635905.html" </w:instrText>
      </w:r>
      <w:r>
        <w:rPr>
          <w:rFonts w:hint="eastAsia" w:ascii="宋体" w:hAnsi="宋体"/>
          <w:sz w:val="24"/>
          <w:lang w:val="en-US" w:eastAsia="zh-CN"/>
        </w:rPr>
        <w:fldChar w:fldCharType="separate"/>
      </w:r>
      <w:r>
        <w:rPr>
          <w:rFonts w:hint="eastAsia" w:ascii="宋体" w:hAnsi="宋体"/>
          <w:sz w:val="24"/>
          <w:lang w:val="en-US" w:eastAsia="zh-CN"/>
        </w:rPr>
        <w:t>系统性</w:t>
      </w:r>
      <w:r>
        <w:rPr>
          <w:rFonts w:hint="eastAsia" w:ascii="宋体" w:hAnsi="宋体"/>
          <w:sz w:val="24"/>
          <w:lang w:val="en-US" w:eastAsia="zh-CN"/>
        </w:rPr>
        <w:fldChar w:fldCharType="end"/>
      </w:r>
      <w:r>
        <w:rPr>
          <w:rFonts w:hint="eastAsia" w:ascii="宋体" w:hAnsi="宋体"/>
          <w:sz w:val="24"/>
          <w:lang w:val="en-US" w:eastAsia="zh-CN"/>
        </w:rPr>
        <w:fldChar w:fldCharType="begin"/>
      </w:r>
      <w:r>
        <w:rPr>
          <w:rFonts w:hint="eastAsia" w:ascii="宋体" w:hAnsi="宋体"/>
          <w:sz w:val="24"/>
          <w:lang w:val="en-US" w:eastAsia="zh-CN"/>
        </w:rPr>
        <w:instrText xml:space="preserve"> HYPERLINK "https://www.minshengwang.com/caijing/599334.html" </w:instrText>
      </w:r>
      <w:r>
        <w:rPr>
          <w:rFonts w:hint="eastAsia" w:ascii="宋体" w:hAnsi="宋体"/>
          <w:sz w:val="24"/>
          <w:lang w:val="en-US" w:eastAsia="zh-CN"/>
        </w:rPr>
        <w:fldChar w:fldCharType="separate"/>
      </w:r>
      <w:r>
        <w:rPr>
          <w:rFonts w:hint="eastAsia" w:ascii="宋体" w:hAnsi="宋体"/>
          <w:sz w:val="24"/>
          <w:lang w:val="en-US" w:eastAsia="zh-CN"/>
        </w:rPr>
        <w:t>金融</w:t>
      </w:r>
      <w:r>
        <w:rPr>
          <w:rFonts w:hint="eastAsia" w:ascii="宋体" w:hAnsi="宋体"/>
          <w:sz w:val="24"/>
          <w:lang w:val="en-US" w:eastAsia="zh-CN"/>
        </w:rPr>
        <w:fldChar w:fldCharType="end"/>
      </w:r>
      <w:r>
        <w:rPr>
          <w:rFonts w:hint="eastAsia" w:ascii="宋体" w:hAnsi="宋体"/>
          <w:sz w:val="24"/>
          <w:lang w:val="en-US" w:eastAsia="zh-CN"/>
        </w:rPr>
        <w:fldChar w:fldCharType="begin"/>
      </w:r>
      <w:r>
        <w:rPr>
          <w:rFonts w:hint="eastAsia" w:ascii="宋体" w:hAnsi="宋体"/>
          <w:sz w:val="24"/>
          <w:lang w:val="en-US" w:eastAsia="zh-CN"/>
        </w:rPr>
        <w:instrText xml:space="preserve"> HYPERLINK "https://www.minshengwang.com/shehui/588430.html" </w:instrText>
      </w:r>
      <w:r>
        <w:rPr>
          <w:rFonts w:hint="eastAsia" w:ascii="宋体" w:hAnsi="宋体"/>
          <w:sz w:val="24"/>
          <w:lang w:val="en-US" w:eastAsia="zh-CN"/>
        </w:rPr>
        <w:fldChar w:fldCharType="separate"/>
      </w:r>
      <w:r>
        <w:rPr>
          <w:rFonts w:hint="eastAsia" w:ascii="宋体" w:hAnsi="宋体"/>
          <w:sz w:val="24"/>
          <w:lang w:val="en-US" w:eastAsia="zh-CN"/>
        </w:rPr>
        <w:t>风险</w:t>
      </w:r>
      <w:r>
        <w:rPr>
          <w:rFonts w:hint="eastAsia" w:ascii="宋体" w:hAnsi="宋体"/>
          <w:sz w:val="24"/>
          <w:lang w:val="en-US" w:eastAsia="zh-CN"/>
        </w:rPr>
        <w:fldChar w:fldCharType="end"/>
      </w:r>
      <w:r>
        <w:rPr>
          <w:rFonts w:hint="eastAsia" w:ascii="宋体" w:hAnsi="宋体"/>
          <w:sz w:val="24"/>
          <w:lang w:val="en-US" w:eastAsia="zh-CN"/>
        </w:rPr>
        <w:t>的</w:t>
      </w:r>
      <w:r>
        <w:rPr>
          <w:rFonts w:hint="eastAsia" w:ascii="宋体" w:hAnsi="宋体"/>
          <w:sz w:val="24"/>
          <w:lang w:val="en-US" w:eastAsia="zh-CN"/>
        </w:rPr>
        <w:fldChar w:fldCharType="begin"/>
      </w:r>
      <w:r>
        <w:rPr>
          <w:rFonts w:hint="eastAsia" w:ascii="宋体" w:hAnsi="宋体"/>
          <w:sz w:val="24"/>
          <w:lang w:val="en-US" w:eastAsia="zh-CN"/>
        </w:rPr>
        <w:instrText xml:space="preserve"> HYPERLINK "https://www.minshengwang.com/yulebagua/yule/607526.html" </w:instrText>
      </w:r>
      <w:r>
        <w:rPr>
          <w:rFonts w:hint="eastAsia" w:ascii="宋体" w:hAnsi="宋体"/>
          <w:sz w:val="24"/>
          <w:lang w:val="en-US" w:eastAsia="zh-CN"/>
        </w:rPr>
        <w:fldChar w:fldCharType="separate"/>
      </w:r>
      <w:r>
        <w:rPr>
          <w:rFonts w:hint="eastAsia" w:ascii="宋体" w:hAnsi="宋体"/>
          <w:sz w:val="24"/>
          <w:lang w:val="en-US" w:eastAsia="zh-CN"/>
        </w:rPr>
        <w:t>底线</w:t>
      </w:r>
      <w:r>
        <w:rPr>
          <w:rFonts w:hint="eastAsia" w:ascii="宋体" w:hAnsi="宋体"/>
          <w:sz w:val="24"/>
          <w:lang w:val="en-US" w:eastAsia="zh-CN"/>
        </w:rPr>
        <w:fldChar w:fldCharType="end"/>
      </w:r>
      <w:r>
        <w:rPr>
          <w:rFonts w:hint="eastAsia" w:ascii="宋体" w:hAnsi="宋体"/>
          <w:sz w:val="24"/>
          <w:lang w:val="en-US" w:eastAsia="zh-CN"/>
        </w:rPr>
        <w:t>”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2、金融新周期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3、全球债务飙升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4、警惕区域性金融风险蔓延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5、地方政府债务风险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6、企业债务风险，部分中小银行面临破产清算威胁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——案例：辽宁、山东企业债务危机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——案例：浙江慈溪建行不良率飙升的教训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——案例：</w:t>
      </w:r>
      <w:r>
        <w:rPr>
          <w:rFonts w:hint="default" w:ascii="宋体" w:hAnsi="宋体"/>
          <w:sz w:val="24"/>
          <w:lang w:val="en-US" w:eastAsia="zh-CN"/>
        </w:rPr>
        <w:t>无锡银行</w:t>
      </w:r>
      <w:r>
        <w:rPr>
          <w:rFonts w:hint="eastAsia" w:ascii="宋体" w:hAnsi="宋体"/>
          <w:sz w:val="24"/>
          <w:lang w:val="en-US" w:eastAsia="zh-CN"/>
        </w:rPr>
        <w:t>：</w:t>
      </w:r>
      <w:r>
        <w:rPr>
          <w:rFonts w:hint="default" w:ascii="宋体" w:hAnsi="宋体"/>
          <w:sz w:val="24"/>
          <w:lang w:val="en-US" w:eastAsia="zh-CN"/>
        </w:rPr>
        <w:t>农商行盲目上市扩张的失败样本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7、资本管制：诡谲的人民币汇率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8、生病的股市：个人理性与集体非理性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9、投资理财的困惑：钱往何处去？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10、百姓发现：只有房地产投资最稳妥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11、房地产企业资金成本提升，融资越来越难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六、新预测：19大后中国经济走向预示房地产市场平稳发展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1、中国经济长期向好的前景是光明的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2、19大后中国经济走向：加大改革开放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3、房地产市场健康发展是政府、百姓的共同愿望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——朱镕基：房地产拉动了一百多个产业发展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——地方财政压力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——百姓财富保值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4、房价会涨还是跌？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——2017.5.12，人民日报发文：房价上涨是必然趋势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——论经济体量，中国和美国最为相像；论土地制度，中国又是香港式的；论人口结构，中国向日本靠拢。再加上调控，所以房价的问题很复杂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——房地产周期：长期看人口、中期看土地、短期看金融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5、人口老龄化加速影响房地产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——从人口结构上看，大概率上2030年是房地产和房价的转折点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6、土地制度政策变化影响房地产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——政府土地供给是放松还是收紧？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——政府将不再是居住用地唯一供应者、农村宅基地“三权分置”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</w:t>
      </w:r>
      <w:r>
        <w:rPr>
          <w:rFonts w:hint="eastAsia" w:ascii="宋体" w:hAnsi="宋体"/>
          <w:b/>
          <w:bCs/>
          <w:color w:val="FF0000"/>
          <w:sz w:val="24"/>
          <w:lang w:val="en-US" w:eastAsia="zh-CN"/>
        </w:rPr>
        <w:t>（2018.1）</w:t>
      </w:r>
      <w:r>
        <w:rPr>
          <w:rFonts w:hint="eastAsia" w:ascii="宋体" w:hAnsi="宋体"/>
          <w:sz w:val="24"/>
          <w:lang w:val="en-US" w:eastAsia="zh-CN"/>
        </w:rPr>
        <w:t>全国国土资源工作会议释放两大信号，呼应的是推动建立多主体供应、多渠道保障、租购并举的住房制度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7、房地产政策影响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——限购、限贷、限价、限售、限商，中国楼市进入“五限时代”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——中央强调“房住不炒”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8、短期金融收紧，影响百姓购买力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——货币增速放缓，国家实行宏观审慎货币政策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——加息、限贷等一系列手段，金融收紧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——居民负债大幅激增，但负债绝对值远低于美国、日本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9、面对政策变化，房地产企业的应对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——每次限购，房地产企业都会受到影响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——房地产企业借外债的大门被关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</w:t>
      </w:r>
      <w:r>
        <w:rPr>
          <w:rFonts w:hint="eastAsia" w:ascii="宋体" w:hAnsi="宋体"/>
          <w:b/>
          <w:bCs/>
          <w:color w:val="FF0000"/>
          <w:sz w:val="24"/>
          <w:lang w:val="en-US" w:eastAsia="zh-CN"/>
        </w:rPr>
        <w:t>房地产企业融资难、成本提高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FF0000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FF0000"/>
          <w:sz w:val="24"/>
          <w:lang w:val="en-US" w:eastAsia="zh-CN"/>
        </w:rPr>
        <w:t>——房地产企业主要融资方式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</w:t>
      </w:r>
      <w:r>
        <w:rPr>
          <w:rFonts w:hint="eastAsia" w:ascii="宋体" w:hAnsi="宋体"/>
          <w:b/>
          <w:bCs/>
          <w:color w:val="FF0000"/>
          <w:sz w:val="24"/>
          <w:lang w:val="en-US" w:eastAsia="zh-CN"/>
        </w:rPr>
        <w:t>房地产企业融资创新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——做好自己的事情：做好产品，造好房子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——未雨绸缪。系好安全带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——做好企业管理创新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七、5G概述与5G发展趋势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1、5G时代已经来临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2、什么是5G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4、5G网络的主要应用场景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5、5G网络建设围绕一个中心：三大应用场景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6、5G将面向未来社会的信息化，提供高速接入和全面的连接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7、5G的典型应用场景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8、5G需求的应用指标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9、5G关键技术布局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10、5G网络涉及的相关技术及应用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八、5G网络的关键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1、理解5G网络概念的三个要点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2、5G网络的关键能力特征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3、ITU（国际电信联盟）定义的5G三大应用场景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——5G eMBB应用——虚拟现实VR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——5G mMTC应用——智慧家庭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——5G uRLLC应用——无人驾驶汽车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4、案例：智能制造的场景应用及应用需求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5、思维转型：5G着眼于物联网与工业互联网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6、“5G物联网+思维”的关键点总结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7、认知完整5G物联网的关键是建立5G物联网端到端整体概念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九、5G的应用领域：对各个行业带来的机遇和影响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1、5G的重点行业应用领域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——智慧交通、医疗健康、城市管理、工业互联网、智慧环保、智慧旅游、智慧金融、文体娱乐、智能电网、公共安全、智慧农业、智慧家庭、仓储物流……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2、高宽带、低时延的5G技术优势将极大提高数字传输效率，不仅改变我们的生活，更将推动各行业升级发展。世界将因5G而更美好。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3、5G+硬核能力体系，打造智慧的产业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left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4、“5G+”垂直</w:t>
      </w:r>
      <w:bookmarkStart w:id="0" w:name="_GoBack"/>
      <w:bookmarkEnd w:id="0"/>
      <w:r>
        <w:rPr>
          <w:rFonts w:hint="eastAsia" w:ascii="宋体" w:hAnsi="宋体"/>
          <w:sz w:val="24"/>
          <w:lang w:val="en-US" w:eastAsia="zh-CN"/>
        </w:rPr>
        <w:t>行业应用领域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——围绕9大垂直领域，探索400个以上5G应用场景，实践100个5G示范应用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5、5G总体愿景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——信息随心至，万物触手及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6、亮剑：打造5G产业核心价值业务的关键要素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（1）如何运用新技术、新理念打造5G产业核心价值业务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（2）关键词：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——5G网络做平台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——物联网做感知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——云计算做服务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——大数据做分析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——人工智能给智慧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——区块链建信用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——SDN重构网络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——互联网＋思维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——服务创新发展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十、5G时代/“互联网+”时代房地产企业管理创新：思维创新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1、人类正在进入信息生产力时代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2、互联网+将改变什么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——制造业、服务业、信息化跨界协同创新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3、信息时代三大动力：新基础设施、新要素、新结构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——自由连接体：专家化—柔性化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4、互联网+的新思维：政府、企业和个人如何抓住新机遇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十一、5G时代/“互联网+”时代房地产企业管理创新：战略创新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1、“互联网+”时代下对房地产企业进行管理创新的必要性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2、新形势下的房地产战略转型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3、新形势下的房地产战略转型的案例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——案例：标杆企业的战略调整：万科等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——案例：全产业链之“碧桂园模式”分析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——案例：恒大成功密码解析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十二、5G时代/“互联网+”时代房地产企业管理创新：工作创新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1、领导艺术创新：毛泽东领导艺术与房地产卓越管理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2、互联网时代机制创新：创建良好的团队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——减少管理层次，实现组织结构的扁平化和信息化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3、知识管理创新：房地产企业竞争优势的来源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4、营销模式创新：树立消费者为主导地位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5、企业人力资源管理创新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——互联网时代、人工智能时代80、90青年员工特征与管理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6、企业财务管理创新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十三、新形势下（房地产）企业如何转型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1、认清世界经济大势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2、把握我国中长期经济发展趋势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3、把握房住不炒的大方向下产业发展趋势：机遇与挑战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4、坚持主业：转型不是转行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5、把握5G、知识经济大势，认清本行业发展趋势，积极研判新的投资机会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6、处理好取与舍、大与强、特与优、新与旧、进与退等几组关系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7、基业长青：做百年企业，坚持与创新并重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8、对本次邀请讲座企业的几点具体建议</w:t>
      </w:r>
      <w:r>
        <w:rPr>
          <w:rFonts w:hint="eastAsia" w:ascii="宋体" w:hAnsi="宋体"/>
          <w:sz w:val="24"/>
          <w:lang w:val="en-US" w:eastAsia="zh-CN"/>
        </w:rPr>
        <w:br w:type="textWrapping"/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长风破浪会有时，直挂云帆济沧海！</w:t>
      </w:r>
    </w:p>
    <w:p>
      <w:pPr>
        <w:adjustRightInd w:val="0"/>
        <w:snapToGrid w:val="0"/>
        <w:spacing w:line="360" w:lineRule="auto"/>
        <w:ind w:firstLine="482" w:firstLineChars="200"/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祝大家事业顺利，身体健康！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533EA4"/>
    <w:rsid w:val="002E2E60"/>
    <w:rsid w:val="0AC53E37"/>
    <w:rsid w:val="0F58345F"/>
    <w:rsid w:val="11E576F3"/>
    <w:rsid w:val="139F7819"/>
    <w:rsid w:val="160B505E"/>
    <w:rsid w:val="19C378D8"/>
    <w:rsid w:val="1C3F1DDE"/>
    <w:rsid w:val="22E263F1"/>
    <w:rsid w:val="239260E4"/>
    <w:rsid w:val="25715DCC"/>
    <w:rsid w:val="29506159"/>
    <w:rsid w:val="2A3B2164"/>
    <w:rsid w:val="2B3E3A03"/>
    <w:rsid w:val="2D081050"/>
    <w:rsid w:val="2D7043F1"/>
    <w:rsid w:val="34D66948"/>
    <w:rsid w:val="38525073"/>
    <w:rsid w:val="38756A6F"/>
    <w:rsid w:val="3E62244C"/>
    <w:rsid w:val="49CA31AC"/>
    <w:rsid w:val="4B6F3117"/>
    <w:rsid w:val="4D630F2C"/>
    <w:rsid w:val="50122983"/>
    <w:rsid w:val="51B85D79"/>
    <w:rsid w:val="530C6EC1"/>
    <w:rsid w:val="54830D83"/>
    <w:rsid w:val="55533EA4"/>
    <w:rsid w:val="559E73E0"/>
    <w:rsid w:val="55E65C1E"/>
    <w:rsid w:val="563C434F"/>
    <w:rsid w:val="5CA843A4"/>
    <w:rsid w:val="604D0F53"/>
    <w:rsid w:val="605A2B81"/>
    <w:rsid w:val="6373560F"/>
    <w:rsid w:val="64834300"/>
    <w:rsid w:val="65642951"/>
    <w:rsid w:val="66707DBB"/>
    <w:rsid w:val="669E2DF1"/>
    <w:rsid w:val="6A281621"/>
    <w:rsid w:val="6D535020"/>
    <w:rsid w:val="6DCC649E"/>
    <w:rsid w:val="6F647B7A"/>
    <w:rsid w:val="74125958"/>
    <w:rsid w:val="75690E80"/>
    <w:rsid w:val="76E209F5"/>
    <w:rsid w:val="7B896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ng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2018-05-08T06:52:00Z</dcterms:created>
  <dc:creator>Wang</dc:creator>
  <cp:lastModifiedBy>Administrator</cp:lastModifiedBy>
  <dcterms:modified xsi:type="dcterms:W3CDTF">2019-11-08T14:36:34Z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