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/>
          <w:b/>
          <w:bCs/>
          <w:sz w:val="30"/>
          <w:szCs w:val="30"/>
          <w:lang w:val="en-US" w:eastAsia="zh-CN"/>
        </w:rPr>
        <w:t>国内外经济形势和金融租赁前沿问题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提纲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 xml:space="preserve">王传宝 </w:t>
      </w:r>
      <w:bookmarkStart w:id="0" w:name="_GoBack"/>
      <w:bookmarkEnd w:id="0"/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教授</w:t>
      </w:r>
    </w:p>
    <w:p>
      <w:pPr>
        <w:adjustRightInd w:val="0"/>
        <w:snapToGrid w:val="0"/>
        <w:spacing w:line="360" w:lineRule="auto"/>
        <w:ind w:firstLine="480" w:firstLineChars="200"/>
        <w:jc w:val="center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时长：0.5-2天。可根据客户要求调整课纲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培训目标</w:t>
      </w:r>
      <w:r>
        <w:rPr>
          <w:rFonts w:hint="eastAsia" w:ascii="宋体" w:hAnsi="宋体"/>
          <w:sz w:val="24"/>
          <w:lang w:val="en-US" w:eastAsia="zh-CN"/>
        </w:rPr>
        <w:t>：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充分认识国内外经济形势和金融风险，正确判断当前我</w:t>
      </w:r>
      <w:r>
        <w:rPr>
          <w:rFonts w:hint="default" w:ascii="宋体" w:hAnsi="宋体"/>
          <w:sz w:val="24"/>
          <w:szCs w:val="24"/>
          <w:lang w:val="en-US" w:eastAsia="zh-CN"/>
        </w:rPr>
        <w:t>国金融租赁行业面临的问题及优化路径</w:t>
      </w:r>
      <w:r>
        <w:rPr>
          <w:rFonts w:hint="eastAsia" w:ascii="宋体" w:hAnsi="宋体"/>
          <w:sz w:val="24"/>
          <w:szCs w:val="24"/>
          <w:lang w:val="en-US" w:eastAsia="zh-CN"/>
        </w:rPr>
        <w:t>，正确认识当前我国银行系金融租赁公司经营及发展现状，正确认识</w:t>
      </w:r>
      <w:r>
        <w:rPr>
          <w:rFonts w:hint="default" w:ascii="宋体" w:hAnsi="宋体"/>
          <w:sz w:val="24"/>
          <w:szCs w:val="24"/>
          <w:lang w:val="en-US" w:eastAsia="zh-CN"/>
        </w:rPr>
        <w:t>金融租赁行业发展趋势</w:t>
      </w:r>
      <w:r>
        <w:rPr>
          <w:rFonts w:hint="eastAsia" w:ascii="宋体" w:hAnsi="宋体"/>
          <w:sz w:val="24"/>
          <w:szCs w:val="24"/>
          <w:lang w:val="en-US" w:eastAsia="zh-CN"/>
        </w:rPr>
        <w:t>，熟悉未来5年我国金融租赁行业发展的影响因素，洞察金融租赁行业（企业）如何利用新机遇、应对新挑战。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课纲特色：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以题目为中心设计课程内容，课纲逻辑脉络清晰，罗列听众最感兴趣的内容，用逻辑主线将“珍珠”串起来，提供“自助餐式菜单”，可根据客户培训需要和时间要求，调整课纲。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一、世界经济新平庸与世界经济周期波动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1、世界经济新平庸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——世界经济复苏格局预测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——随时可能发生的新金融危机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2、世界经济周期与新工业革命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——全球长波周期划分（康得拉季耶夫周期）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——工业革命、技术变革与城市化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3、美国加息为何搅动世界经济局势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——美国加息效应的传导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——对中国和新兴市场国家的影响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4、美联储缩表：全球资金回流美国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——什么是美联储缩表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——全球资金回流美国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——美联储缩表对中国的主要影响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5、特朗普冲击与全球大变局初显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——特朗普冲击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——白宫公布特朗普税改计划纲要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6、“灰犀牛”与全球大变局初显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——警惕“灰犀牛”式大概率危机的到来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——全球大变局初显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二、中国经济中长期发展趋势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1、宏观经济分析的基本框架：总需求与总供给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2、经济增长的决定要素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3、需求三架马车分析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（1）消费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——消费结构升级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——经济增长与消费结构升级的机制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——发展阶段与消费需求结构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——进一步刺激内需不易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（2）投资：民间投资告急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——投资效率越来越低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（3）出口：进出口增速回落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4、供给侧分析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（1）人口问题：未富先老 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（2）资源环境问题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（3）科技创新问题：对创新的重要性怎么强调都不过分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5、</w:t>
      </w: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近年中国出现的几个重要拐点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6、中国经济新体系与新时代中国经济新信号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7、对我国未来经济增长的基本判断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三、2019年我国宏观经济前景预判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1、增长率、消费、投资、进出口、就业、赤字、基建、房地产、资本市场等总体判断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2、谨防发生系统性金融风险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3、2019年经济发展的新风险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4、2019年经济发展的新机遇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5、2019年是攻坚和攻关之年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6、2019年是市场加快出清之年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7、2019年是加快培育新动能之年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8、2019年中国经济需要警惕六大风险点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9、中央经济工作会议精神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四、中美贸易战加速我国金融业开放对金融租赁的影响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1、金融租赁面临外资挑战：我国在2018年落地金融开放11项措施，包括鼓励在金融租赁、汽车金融等领域引入外资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2、中美贸易战影响我国实体经济进而影响我国金融租赁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3、“明斯基时刻”加速到来：谨防现有金融风险与中美贸易战的叠加效应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五、我国69家金融租赁公司主要业务领域梳理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1、</w:t>
      </w:r>
      <w:r>
        <w:rPr>
          <w:rFonts w:hint="default" w:ascii="宋体" w:hAnsi="宋体"/>
          <w:sz w:val="24"/>
          <w:szCs w:val="24"/>
          <w:lang w:val="en-US" w:eastAsia="zh-CN"/>
        </w:rPr>
        <w:t>金融租赁定义和分类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</w:t>
      </w:r>
      <w:r>
        <w:rPr>
          <w:rFonts w:hint="default" w:ascii="宋体" w:hAnsi="宋体"/>
          <w:sz w:val="24"/>
          <w:szCs w:val="24"/>
          <w:lang w:val="en-US" w:eastAsia="zh-CN"/>
        </w:rPr>
        <w:fldChar w:fldCharType="begin"/>
      </w:r>
      <w:r>
        <w:rPr>
          <w:rFonts w:hint="default" w:ascii="宋体" w:hAnsi="宋体"/>
          <w:sz w:val="24"/>
          <w:szCs w:val="24"/>
          <w:lang w:val="en-US" w:eastAsia="zh-CN"/>
        </w:rPr>
        <w:instrText xml:space="preserve"> HYPERLINK "https://bg.qianzhan.com/report/detail/793e041f2d5443c1.html" \t "https://bg.qianzhan.com/report/detail/458/_blank" </w:instrText>
      </w:r>
      <w:r>
        <w:rPr>
          <w:rFonts w:hint="default" w:ascii="宋体" w:hAnsi="宋体"/>
          <w:sz w:val="24"/>
          <w:szCs w:val="24"/>
          <w:lang w:val="en-US" w:eastAsia="zh-CN"/>
        </w:rPr>
        <w:fldChar w:fldCharType="separate"/>
      </w:r>
      <w:r>
        <w:rPr>
          <w:rFonts w:hint="default" w:ascii="宋体" w:hAnsi="宋体"/>
          <w:sz w:val="24"/>
          <w:szCs w:val="24"/>
          <w:lang w:val="en-US" w:eastAsia="zh-CN"/>
        </w:rPr>
        <w:t>金融租赁</w:t>
      </w:r>
      <w:r>
        <w:rPr>
          <w:rFonts w:hint="default" w:ascii="宋体" w:hAnsi="宋体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/>
          <w:sz w:val="24"/>
          <w:szCs w:val="24"/>
          <w:lang w:val="en-US" w:eastAsia="zh-CN"/>
        </w:rPr>
        <w:t>的</w:t>
      </w:r>
      <w:r>
        <w:rPr>
          <w:rFonts w:hint="default" w:ascii="宋体" w:hAnsi="宋体"/>
          <w:sz w:val="24"/>
          <w:szCs w:val="24"/>
          <w:lang w:val="en-US" w:eastAsia="zh-CN"/>
        </w:rPr>
        <w:t>定义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</w:t>
      </w:r>
      <w:r>
        <w:rPr>
          <w:rFonts w:hint="default" w:ascii="宋体" w:hAnsi="宋体"/>
          <w:sz w:val="24"/>
          <w:szCs w:val="24"/>
          <w:lang w:val="en-US" w:eastAsia="zh-CN"/>
        </w:rPr>
        <w:t>金融租赁具有融物和融资的双重功能。金融租赁可以分为2大品种：直接融资租赁和出售回租。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2、</w:t>
      </w:r>
      <w:r>
        <w:rPr>
          <w:rFonts w:hint="default" w:ascii="宋体" w:hAnsi="宋体"/>
          <w:sz w:val="24"/>
          <w:szCs w:val="24"/>
          <w:lang w:val="en-US" w:eastAsia="zh-CN"/>
        </w:rPr>
        <w:t>从统计数据来看，涉足大型设备、车辆、轨道交通和医疗领域的金租公司较多，而涉足教育文化和农业领域的金融租赁公司较少。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六、当前我</w:t>
      </w:r>
      <w:r>
        <w:rPr>
          <w:rFonts w:hint="default" w:ascii="宋体" w:hAnsi="宋体"/>
          <w:b/>
          <w:bCs/>
          <w:color w:val="0000FF"/>
          <w:sz w:val="24"/>
          <w:lang w:val="en-US" w:eastAsia="zh-CN"/>
        </w:rPr>
        <w:t>国金融租赁行业面临的问题及优化路径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1、问题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</w:t>
      </w:r>
      <w:r>
        <w:rPr>
          <w:rFonts w:hint="default" w:ascii="宋体" w:hAnsi="宋体"/>
          <w:sz w:val="24"/>
          <w:szCs w:val="24"/>
          <w:lang w:val="en-US" w:eastAsia="zh-CN"/>
        </w:rPr>
        <w:t>股东依赖度高、业务模式简单、投资标的集中、人才储备不足、融资渠道单一等诸多问题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2、优化路径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</w:t>
      </w:r>
      <w:r>
        <w:rPr>
          <w:rFonts w:hint="default" w:ascii="宋体" w:hAnsi="宋体"/>
          <w:sz w:val="24"/>
          <w:szCs w:val="24"/>
          <w:lang w:val="en-US" w:eastAsia="zh-CN"/>
        </w:rPr>
        <w:t>深化市场化运营、创新业务模式、准确战略定位、培育创新型团队、完善风控机制、加强境内外并购、拓宽融资渠道以及推进国际化发展等一系列针对性措施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七、当前我国银行系金融租赁公司经营及发展现状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1、银行系金融租赁公司“行司联动”主要可分为“完全依赖型”和“合作互补型”两种模式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——完全依赖型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——合作互补型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2、银行系金融租赁公司的差异化经营，实际包含以下三个层面：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——与包括母行在内的商业银行信贷产品的差异化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——与融资租赁公司的差异化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——金融租赁公司自身核心竞争能力的培育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3、银行系金融租赁公司的经营情况到底如何？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——盈利能力分化严重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——自2014年以来，城商行、农商行等入局金融租赁的热潮一直未减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——发力经营性租赁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4、各金融租赁公司的业务竞争依然十分激烈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——大多数金融租赁公司都提出聚焦航空设备租赁，建信租赁、招银租赁、民生租赁等，都提出要发展高端装备设备租赁，招银租赁、民生租赁、光大租赁等都提出要发展医疗健康领域租赁业务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5、虽然银行系金融租赁公司在资本实力、融资方式上占据优势，但实际上目前部分租赁公司并没有完全独立经营，而是主要依靠母行开展业务，部分金融租赁公司甚至变得分行化、部门化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6、目前监管部门更倾向金融租赁公司独立化、市场化运营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八、</w:t>
      </w:r>
      <w:r>
        <w:rPr>
          <w:rFonts w:hint="default" w:ascii="宋体" w:hAnsi="宋体"/>
          <w:b/>
          <w:bCs/>
          <w:color w:val="0000FF"/>
          <w:sz w:val="24"/>
          <w:lang w:val="en-US" w:eastAsia="zh-CN"/>
        </w:rPr>
        <w:t>金融租赁行业发展趋势分析</w:t>
      </w: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：</w:t>
      </w:r>
      <w:r>
        <w:rPr>
          <w:rFonts w:hint="default" w:ascii="宋体" w:hAnsi="宋体"/>
          <w:b/>
          <w:bCs/>
          <w:color w:val="0000FF"/>
          <w:sz w:val="24"/>
          <w:lang w:val="en-US" w:eastAsia="zh-CN"/>
        </w:rPr>
        <w:t>市场或将迎来洗牌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1、</w:t>
      </w:r>
      <w:r>
        <w:rPr>
          <w:rFonts w:hint="default" w:ascii="宋体" w:hAnsi="宋体"/>
          <w:sz w:val="24"/>
          <w:szCs w:val="24"/>
          <w:lang w:val="en-US" w:eastAsia="zh-CN"/>
        </w:rPr>
        <w:t>发达国家融资租赁业务日益国际化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2、</w:t>
      </w:r>
      <w:r>
        <w:rPr>
          <w:rFonts w:hint="default" w:ascii="宋体" w:hAnsi="宋体"/>
          <w:sz w:val="24"/>
          <w:szCs w:val="24"/>
          <w:lang w:val="en-US" w:eastAsia="zh-CN"/>
        </w:rPr>
        <w:t>中国金融租赁市场规模</w:t>
      </w:r>
      <w:r>
        <w:rPr>
          <w:rFonts w:hint="eastAsia" w:ascii="宋体" w:hAnsi="宋体"/>
          <w:sz w:val="24"/>
          <w:szCs w:val="24"/>
          <w:lang w:val="en-US" w:eastAsia="zh-CN"/>
        </w:rPr>
        <w:t>增长较快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3、</w:t>
      </w:r>
      <w:r>
        <w:rPr>
          <w:rFonts w:hint="default" w:ascii="宋体" w:hAnsi="宋体"/>
          <w:sz w:val="24"/>
          <w:szCs w:val="24"/>
          <w:lang w:val="en-US" w:eastAsia="zh-CN"/>
        </w:rPr>
        <w:fldChar w:fldCharType="begin"/>
      </w:r>
      <w:r>
        <w:rPr>
          <w:rFonts w:hint="default" w:ascii="宋体" w:hAnsi="宋体"/>
          <w:sz w:val="24"/>
          <w:szCs w:val="24"/>
          <w:lang w:val="en-US" w:eastAsia="zh-CN"/>
        </w:rPr>
        <w:instrText xml:space="preserve"> HYPERLINK "https://bg.qianzhan.com/report/detail/793e041f2d5443c1.html" \t "https://bg.qianzhan.com/report/detail/458/_blank" </w:instrText>
      </w:r>
      <w:r>
        <w:rPr>
          <w:rFonts w:hint="default" w:ascii="宋体" w:hAnsi="宋体"/>
          <w:sz w:val="24"/>
          <w:szCs w:val="24"/>
          <w:lang w:val="en-US" w:eastAsia="zh-CN"/>
        </w:rPr>
        <w:fldChar w:fldCharType="separate"/>
      </w:r>
      <w:r>
        <w:rPr>
          <w:rFonts w:hint="default" w:ascii="宋体" w:hAnsi="宋体"/>
          <w:sz w:val="24"/>
          <w:szCs w:val="24"/>
          <w:lang w:val="en-US" w:eastAsia="zh-CN"/>
        </w:rPr>
        <w:t>金融租赁机构</w:t>
      </w:r>
      <w:r>
        <w:rPr>
          <w:rFonts w:hint="default" w:ascii="宋体" w:hAnsi="宋体"/>
          <w:sz w:val="24"/>
          <w:szCs w:val="24"/>
          <w:lang w:val="en-US" w:eastAsia="zh-CN"/>
        </w:rPr>
        <w:fldChar w:fldCharType="end"/>
      </w:r>
      <w:r>
        <w:rPr>
          <w:rFonts w:hint="default" w:ascii="宋体" w:hAnsi="宋体"/>
          <w:sz w:val="24"/>
          <w:szCs w:val="24"/>
          <w:lang w:val="en-US" w:eastAsia="zh-CN"/>
        </w:rPr>
        <w:t>数量不断增多，市场竞争日趋激烈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4、</w:t>
      </w:r>
      <w:r>
        <w:rPr>
          <w:rFonts w:hint="default" w:ascii="宋体" w:hAnsi="宋体"/>
          <w:sz w:val="24"/>
          <w:szCs w:val="24"/>
          <w:lang w:val="en-US" w:eastAsia="zh-CN"/>
        </w:rPr>
        <w:t>行业增速进一步放缓，市场或将迎来洗牌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5、</w:t>
      </w:r>
      <w:r>
        <w:rPr>
          <w:rFonts w:hint="default" w:ascii="宋体" w:hAnsi="宋体"/>
          <w:sz w:val="24"/>
          <w:szCs w:val="24"/>
          <w:lang w:val="en-US" w:eastAsia="zh-CN"/>
        </w:rPr>
        <w:t>总体信用风险或将继续上升，但行业差别明显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6、</w:t>
      </w:r>
      <w:r>
        <w:rPr>
          <w:rFonts w:hint="default" w:ascii="宋体" w:hAnsi="宋体"/>
          <w:sz w:val="24"/>
          <w:szCs w:val="24"/>
          <w:lang w:val="en-US" w:eastAsia="zh-CN"/>
        </w:rPr>
        <w:t>融资渠道多元化趋势明显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九、未来5年我国金融租赁行业发展的影响因素预测分析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1、有利因素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——资本补充渠道更加多元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——供给侧改革需要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2、不利因素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——同质化现象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——亟待政策支持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十、金融租赁行业（企业）如何利用新机遇、应对新挑战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1、金融租赁未来发展的新机遇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——中国经济高质量发展预示金融租赁“黄金发展期”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——“中国制造2025”和战略性新兴产业发展需要金融租赁的配合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——“一带一路”提供跨境租赁新契机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——绿色金融带来金融租赁新市场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——科技金融助力金融租赁的发展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2、金融租赁未来发展的新挑战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——中美贸易战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——经济增速下滑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——政策多变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3、金融租赁行业发展与企业业务探索的对策建议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——抓住新机遇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——应对新挑战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Arial" w:hAnsi="Arial" w:eastAsia="Arial" w:cs="Arial"/>
          <w:i w:val="0"/>
          <w:caps w:val="0"/>
          <w:color w:val="191919"/>
          <w:spacing w:val="0"/>
          <w:sz w:val="24"/>
          <w:szCs w:val="24"/>
          <w:shd w:val="clear" w:fill="FFFFFF"/>
        </w:rPr>
      </w:pPr>
      <w:r>
        <w:rPr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——</w:t>
      </w:r>
      <w:r>
        <w:rPr>
          <w:rFonts w:hint="eastAsia" w:ascii="Arial" w:hAnsi="Arial" w:eastAsia="Arial" w:cs="Arial"/>
          <w:i w:val="0"/>
          <w:caps w:val="0"/>
          <w:color w:val="191919"/>
          <w:spacing w:val="0"/>
          <w:sz w:val="24"/>
          <w:szCs w:val="24"/>
          <w:shd w:val="clear" w:fill="FFFFFF"/>
        </w:rPr>
        <w:t>金融租赁公司除了在金融方面获取收益外，还要争取在贸易、服务和资产管理方面增加收益。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……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</w:p>
    <w:sectPr>
      <w:footerReference r:id="rId3" w:type="default"/>
      <w:pgSz w:w="11906" w:h="16838"/>
      <w:pgMar w:top="1418" w:right="1418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0A9"/>
    <w:rsid w:val="00011331"/>
    <w:rsid w:val="000533A5"/>
    <w:rsid w:val="00085C08"/>
    <w:rsid w:val="000929DD"/>
    <w:rsid w:val="000A3FCC"/>
    <w:rsid w:val="000D57F1"/>
    <w:rsid w:val="000E6072"/>
    <w:rsid w:val="00113009"/>
    <w:rsid w:val="001F3FFB"/>
    <w:rsid w:val="0026016F"/>
    <w:rsid w:val="00271949"/>
    <w:rsid w:val="00281082"/>
    <w:rsid w:val="003060D0"/>
    <w:rsid w:val="00356DB9"/>
    <w:rsid w:val="003A402A"/>
    <w:rsid w:val="00463666"/>
    <w:rsid w:val="00464D12"/>
    <w:rsid w:val="004661CE"/>
    <w:rsid w:val="0047782C"/>
    <w:rsid w:val="0049399F"/>
    <w:rsid w:val="004E56A7"/>
    <w:rsid w:val="005733B0"/>
    <w:rsid w:val="005C40E1"/>
    <w:rsid w:val="005E5F1A"/>
    <w:rsid w:val="00615807"/>
    <w:rsid w:val="00656104"/>
    <w:rsid w:val="006E0958"/>
    <w:rsid w:val="0071457B"/>
    <w:rsid w:val="00742F75"/>
    <w:rsid w:val="007E57A7"/>
    <w:rsid w:val="0081715A"/>
    <w:rsid w:val="0088238B"/>
    <w:rsid w:val="00906BEE"/>
    <w:rsid w:val="00933D49"/>
    <w:rsid w:val="009C2BE7"/>
    <w:rsid w:val="00A344EB"/>
    <w:rsid w:val="00A50312"/>
    <w:rsid w:val="00A95C70"/>
    <w:rsid w:val="00B20704"/>
    <w:rsid w:val="00B359F5"/>
    <w:rsid w:val="00B62397"/>
    <w:rsid w:val="00B772D3"/>
    <w:rsid w:val="00B9537B"/>
    <w:rsid w:val="00C52F1D"/>
    <w:rsid w:val="00C84CCE"/>
    <w:rsid w:val="00CC29A3"/>
    <w:rsid w:val="00CC2C64"/>
    <w:rsid w:val="00CF17B8"/>
    <w:rsid w:val="00D43C49"/>
    <w:rsid w:val="00D92500"/>
    <w:rsid w:val="00DB42F1"/>
    <w:rsid w:val="00DE7B04"/>
    <w:rsid w:val="00E6233D"/>
    <w:rsid w:val="00E740A9"/>
    <w:rsid w:val="00EB2648"/>
    <w:rsid w:val="00EC1A5B"/>
    <w:rsid w:val="00EC625C"/>
    <w:rsid w:val="00F90F73"/>
    <w:rsid w:val="00FE1265"/>
    <w:rsid w:val="0ED7514A"/>
    <w:rsid w:val="170E07B9"/>
    <w:rsid w:val="1A23313C"/>
    <w:rsid w:val="30A6485E"/>
    <w:rsid w:val="31E70A6B"/>
    <w:rsid w:val="3A720C70"/>
    <w:rsid w:val="3C496322"/>
    <w:rsid w:val="40920770"/>
    <w:rsid w:val="46F26363"/>
    <w:rsid w:val="4BA3235C"/>
    <w:rsid w:val="4BBF11A8"/>
    <w:rsid w:val="59285182"/>
    <w:rsid w:val="6A824F5F"/>
    <w:rsid w:val="6BD07459"/>
    <w:rsid w:val="6F2377AC"/>
    <w:rsid w:val="74A4769B"/>
    <w:rsid w:val="7D450CE8"/>
    <w:rsid w:val="7ED64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Times New Roman" w:hAnsi="Times New Roman" w:cs="Times New Roman"/>
      <w:b/>
      <w:bCs/>
      <w:kern w:val="0"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Emphasis"/>
    <w:basedOn w:val="8"/>
    <w:qFormat/>
    <w:uiPriority w:val="20"/>
    <w:rPr>
      <w:i/>
    </w:rPr>
  </w:style>
  <w:style w:type="character" w:styleId="11">
    <w:name w:val="Hyperlink"/>
    <w:basedOn w:val="8"/>
    <w:semiHidden/>
    <w:unhideWhenUsed/>
    <w:uiPriority w:val="99"/>
    <w:rPr>
      <w:color w:val="0000FF"/>
      <w:u w:val="single"/>
    </w:rPr>
  </w:style>
  <w:style w:type="character" w:customStyle="1" w:styleId="13">
    <w:name w:val="页眉字符"/>
    <w:basedOn w:val="8"/>
    <w:link w:val="6"/>
    <w:qFormat/>
    <w:uiPriority w:val="99"/>
    <w:rPr>
      <w:sz w:val="18"/>
      <w:szCs w:val="18"/>
    </w:rPr>
  </w:style>
  <w:style w:type="character" w:customStyle="1" w:styleId="14">
    <w:name w:val="页脚字符"/>
    <w:basedOn w:val="8"/>
    <w:link w:val="5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2字符"/>
    <w:basedOn w:val="8"/>
    <w:link w:val="3"/>
    <w:uiPriority w:val="9"/>
    <w:rPr>
      <w:rFonts w:ascii="Times New Roman" w:hAnsi="Times New Roman" w:cs="Times New Roman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139</Words>
  <Characters>797</Characters>
  <Lines>6</Lines>
  <Paragraphs>1</Paragraphs>
  <TotalTime>0</TotalTime>
  <ScaleCrop>false</ScaleCrop>
  <LinksUpToDate>false</LinksUpToDate>
  <CharactersWithSpaces>935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2018-07-18T07:00:00Z</dcterms:created>
  <dc:creator>China</dc:creator>
  <cp:lastModifiedBy>Wang</cp:lastModifiedBy>
  <dcterms:modified xsi:type="dcterms:W3CDTF">2019-01-14T08:56:37Z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