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1CA93" w14:textId="252EC58F" w:rsidR="00985779" w:rsidRPr="008C249C" w:rsidRDefault="00D826B9">
      <w:pPr>
        <w:adjustRightInd w:val="0"/>
        <w:snapToGrid w:val="0"/>
        <w:spacing w:line="360" w:lineRule="auto"/>
        <w:jc w:val="center"/>
        <w:rPr>
          <w:rFonts w:ascii="宋体" w:hAnsi="宋体"/>
          <w:b/>
          <w:bCs/>
          <w:sz w:val="28"/>
          <w:szCs w:val="28"/>
        </w:rPr>
      </w:pPr>
      <w:r w:rsidRPr="008C249C">
        <w:rPr>
          <w:rFonts w:ascii="宋体" w:hAnsi="宋体" w:hint="eastAsia"/>
          <w:b/>
          <w:bCs/>
          <w:sz w:val="28"/>
          <w:szCs w:val="28"/>
        </w:rPr>
        <w:t>“十四五”规划、都市圈建设</w:t>
      </w:r>
      <w:r w:rsidR="00985779" w:rsidRPr="008C249C">
        <w:rPr>
          <w:rFonts w:ascii="宋体" w:hAnsi="宋体" w:hint="eastAsia"/>
          <w:b/>
          <w:bCs/>
          <w:sz w:val="28"/>
          <w:szCs w:val="28"/>
        </w:rPr>
        <w:t>与建筑</w:t>
      </w:r>
      <w:r w:rsidR="008C249C" w:rsidRPr="008C249C">
        <w:rPr>
          <w:rFonts w:ascii="宋体" w:hAnsi="宋体" w:hint="eastAsia"/>
          <w:b/>
          <w:bCs/>
          <w:sz w:val="28"/>
          <w:szCs w:val="28"/>
        </w:rPr>
        <w:t>行业</w:t>
      </w:r>
      <w:r w:rsidR="00985779" w:rsidRPr="008C249C">
        <w:rPr>
          <w:rFonts w:ascii="宋体" w:hAnsi="宋体" w:hint="eastAsia"/>
          <w:b/>
          <w:bCs/>
          <w:sz w:val="28"/>
          <w:szCs w:val="28"/>
        </w:rPr>
        <w:t>新趋势</w:t>
      </w:r>
      <w:r w:rsidRPr="008C249C">
        <w:rPr>
          <w:rFonts w:ascii="宋体" w:hAnsi="宋体" w:hint="eastAsia"/>
          <w:b/>
          <w:bCs/>
          <w:sz w:val="28"/>
          <w:szCs w:val="28"/>
        </w:rPr>
        <w:t>、新机遇与新应对</w:t>
      </w:r>
    </w:p>
    <w:p w14:paraId="3AC6D846" w14:textId="77777777" w:rsidR="00CD6B0A" w:rsidRDefault="00C567E5">
      <w:pPr>
        <w:adjustRightInd w:val="0"/>
        <w:snapToGrid w:val="0"/>
        <w:spacing w:line="360" w:lineRule="auto"/>
        <w:jc w:val="center"/>
        <w:rPr>
          <w:rFonts w:ascii="宋体" w:hAnsi="宋体"/>
          <w:b/>
          <w:bCs/>
          <w:sz w:val="24"/>
        </w:rPr>
      </w:pPr>
      <w:r>
        <w:rPr>
          <w:rFonts w:ascii="宋体" w:hAnsi="宋体" w:hint="eastAsia"/>
          <w:b/>
          <w:bCs/>
          <w:sz w:val="24"/>
        </w:rPr>
        <w:t>提纲</w:t>
      </w:r>
    </w:p>
    <w:p w14:paraId="7963DB1B" w14:textId="77777777" w:rsidR="00CD6B0A" w:rsidRDefault="00C567E5">
      <w:pPr>
        <w:spacing w:line="360" w:lineRule="auto"/>
        <w:jc w:val="center"/>
        <w:rPr>
          <w:rFonts w:ascii="宋体" w:hAnsi="宋体" w:cs="宋体"/>
          <w:color w:val="0000FF"/>
          <w:sz w:val="28"/>
          <w:szCs w:val="28"/>
        </w:rPr>
      </w:pPr>
      <w:r>
        <w:rPr>
          <w:rFonts w:ascii="宋体" w:hAnsi="宋体" w:cs="宋体" w:hint="eastAsia"/>
          <w:color w:val="0000FF"/>
          <w:sz w:val="28"/>
          <w:szCs w:val="28"/>
        </w:rPr>
        <w:t>王传宝  教授</w:t>
      </w:r>
    </w:p>
    <w:p w14:paraId="06D9874F"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时长：0.5天-1天。可根据不同省市客户要求调整课纲。</w:t>
      </w:r>
    </w:p>
    <w:p w14:paraId="622895C6"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根据经济实际变化，在具体授课前，适当调整讲课内容</w:t>
      </w:r>
    </w:p>
    <w:p w14:paraId="4A06AFFC" w14:textId="77777777" w:rsidR="00CD6B0A" w:rsidRDefault="00C567E5">
      <w:pPr>
        <w:adjustRightInd w:val="0"/>
        <w:snapToGrid w:val="0"/>
        <w:spacing w:line="360" w:lineRule="auto"/>
        <w:ind w:firstLineChars="200" w:firstLine="480"/>
        <w:jc w:val="center"/>
        <w:rPr>
          <w:rFonts w:ascii="宋体" w:hAnsi="宋体" w:cs="宋体"/>
          <w:sz w:val="24"/>
        </w:rPr>
      </w:pPr>
      <w:r>
        <w:rPr>
          <w:rFonts w:ascii="宋体" w:hAnsi="宋体" w:cs="宋体" w:hint="eastAsia"/>
          <w:sz w:val="24"/>
        </w:rPr>
        <w:t>可以现场讲座，也可以做线上直播、录播</w:t>
      </w:r>
    </w:p>
    <w:p w14:paraId="7D9A3554" w14:textId="77777777" w:rsidR="00CD6B0A" w:rsidRDefault="00CD6B0A">
      <w:pPr>
        <w:adjustRightInd w:val="0"/>
        <w:snapToGrid w:val="0"/>
        <w:spacing w:line="360" w:lineRule="auto"/>
        <w:ind w:firstLineChars="200" w:firstLine="480"/>
        <w:rPr>
          <w:rFonts w:ascii="宋体" w:hAnsi="宋体"/>
          <w:sz w:val="24"/>
        </w:rPr>
      </w:pPr>
    </w:p>
    <w:p w14:paraId="40A1EE63" w14:textId="03F3929B" w:rsidR="00CD6B0A" w:rsidRDefault="00C567E5">
      <w:pPr>
        <w:adjustRightInd w:val="0"/>
        <w:snapToGrid w:val="0"/>
        <w:spacing w:line="360" w:lineRule="auto"/>
        <w:ind w:firstLineChars="200" w:firstLine="482"/>
        <w:rPr>
          <w:rFonts w:ascii="宋体" w:hAnsi="宋体"/>
          <w:sz w:val="24"/>
        </w:rPr>
      </w:pPr>
      <w:r>
        <w:rPr>
          <w:rFonts w:ascii="宋体" w:hAnsi="宋体" w:hint="eastAsia"/>
          <w:b/>
          <w:bCs/>
          <w:sz w:val="24"/>
        </w:rPr>
        <w:t>培训目标</w:t>
      </w:r>
      <w:r>
        <w:rPr>
          <w:rFonts w:ascii="宋体" w:hAnsi="宋体" w:hint="eastAsia"/>
          <w:sz w:val="24"/>
        </w:rPr>
        <w:t>：从怎么看，到怎么办、怎么干，本课程研究</w:t>
      </w:r>
      <w:r w:rsidR="008C249C" w:rsidRPr="008C249C">
        <w:rPr>
          <w:rFonts w:ascii="宋体" w:hAnsi="宋体" w:hint="eastAsia"/>
          <w:sz w:val="24"/>
        </w:rPr>
        <w:t>“十四五”规划、都市圈建设</w:t>
      </w:r>
      <w:r>
        <w:rPr>
          <w:rFonts w:ascii="宋体" w:hAnsi="宋体" w:hint="eastAsia"/>
          <w:sz w:val="24"/>
        </w:rPr>
        <w:t>对建筑行业的影响、解读相关基建政策，分析</w:t>
      </w:r>
      <w:r w:rsidR="00985779">
        <w:rPr>
          <w:rFonts w:ascii="宋体" w:hAnsi="宋体" w:hint="eastAsia"/>
          <w:sz w:val="24"/>
        </w:rPr>
        <w:t>新形势下</w:t>
      </w:r>
      <w:r>
        <w:rPr>
          <w:rFonts w:ascii="宋体" w:hAnsi="宋体" w:hint="eastAsia"/>
          <w:sz w:val="24"/>
        </w:rPr>
        <w:t>我国建筑行业</w:t>
      </w:r>
      <w:r w:rsidR="008C249C" w:rsidRPr="00C1658C">
        <w:rPr>
          <w:rFonts w:ascii="宋体" w:hAnsi="宋体" w:hint="eastAsia"/>
          <w:sz w:val="24"/>
        </w:rPr>
        <w:t>新趋势、新机遇与新应对</w:t>
      </w:r>
      <w:r>
        <w:rPr>
          <w:rFonts w:ascii="宋体" w:hAnsi="宋体" w:hint="eastAsia"/>
          <w:sz w:val="24"/>
        </w:rPr>
        <w:t>。培训内容注重解疑答惑，主动应对疫情影响，帮助建筑企业和房地产企业决策，更好地助推工作。讲座“有理、有趣、有料、有用”，图文并茂，通俗易懂。理论与实际相结合，学员可以在知其所以然的基础上，进而知道未来的必然。</w:t>
      </w:r>
    </w:p>
    <w:p w14:paraId="1F4332EB" w14:textId="77777777" w:rsidR="00CD6B0A" w:rsidRDefault="00CD6B0A">
      <w:pPr>
        <w:adjustRightInd w:val="0"/>
        <w:snapToGrid w:val="0"/>
        <w:spacing w:line="360" w:lineRule="auto"/>
        <w:ind w:firstLineChars="200" w:firstLine="480"/>
        <w:rPr>
          <w:rFonts w:ascii="宋体" w:hAnsi="宋体"/>
          <w:color w:val="0000FF"/>
          <w:sz w:val="24"/>
        </w:rPr>
      </w:pPr>
    </w:p>
    <w:p w14:paraId="1A3C3C8B" w14:textId="77777777" w:rsidR="00CD6B0A" w:rsidRDefault="00C567E5">
      <w:pPr>
        <w:adjustRightInd w:val="0"/>
        <w:snapToGrid w:val="0"/>
        <w:spacing w:line="360" w:lineRule="auto"/>
        <w:ind w:firstLineChars="200" w:firstLine="482"/>
        <w:jc w:val="center"/>
        <w:rPr>
          <w:rFonts w:ascii="宋体" w:hAnsi="宋体"/>
          <w:b/>
          <w:bCs/>
          <w:sz w:val="24"/>
        </w:rPr>
      </w:pPr>
      <w:r>
        <w:rPr>
          <w:rFonts w:ascii="宋体" w:hAnsi="宋体" w:hint="eastAsia"/>
          <w:b/>
          <w:bCs/>
          <w:sz w:val="24"/>
        </w:rPr>
        <w:t>讲座提纲（三级提纲版）</w:t>
      </w:r>
    </w:p>
    <w:p w14:paraId="2CCE6C9B" w14:textId="7C5D7BEA" w:rsidR="006D489D" w:rsidRPr="009C6BE8" w:rsidRDefault="0026683B" w:rsidP="009C6BE8">
      <w:pPr>
        <w:adjustRightInd w:val="0"/>
        <w:snapToGrid w:val="0"/>
        <w:spacing w:line="360" w:lineRule="auto"/>
        <w:ind w:firstLineChars="200" w:firstLine="482"/>
        <w:rPr>
          <w:rFonts w:ascii="宋体" w:hAnsi="宋体"/>
          <w:b/>
          <w:bCs/>
          <w:color w:val="0000FF"/>
          <w:sz w:val="24"/>
        </w:rPr>
      </w:pPr>
      <w:r w:rsidRPr="009C6BE8">
        <w:rPr>
          <w:rFonts w:ascii="宋体" w:hAnsi="宋体" w:hint="eastAsia"/>
          <w:b/>
          <w:bCs/>
          <w:color w:val="0000FF"/>
          <w:sz w:val="24"/>
        </w:rPr>
        <w:t>一</w:t>
      </w:r>
      <w:r w:rsidR="006D489D" w:rsidRPr="009C6BE8">
        <w:rPr>
          <w:rFonts w:ascii="宋体" w:hAnsi="宋体" w:hint="eastAsia"/>
          <w:b/>
          <w:bCs/>
          <w:color w:val="0000FF"/>
          <w:sz w:val="24"/>
        </w:rPr>
        <w:t>、“十四五”规划解读与</w:t>
      </w:r>
      <w:r w:rsidR="006D489D" w:rsidRPr="009C6BE8">
        <w:rPr>
          <w:rFonts w:ascii="宋体" w:hAnsi="宋体"/>
          <w:b/>
          <w:bCs/>
          <w:color w:val="0000FF"/>
          <w:sz w:val="24"/>
        </w:rPr>
        <w:t>“十四五”时期政策展望</w:t>
      </w:r>
    </w:p>
    <w:p w14:paraId="062941FD" w14:textId="77777777" w:rsidR="006D489D" w:rsidRPr="009C6BE8" w:rsidRDefault="006D489D" w:rsidP="009C6BE8">
      <w:pPr>
        <w:adjustRightInd w:val="0"/>
        <w:snapToGrid w:val="0"/>
        <w:spacing w:line="360" w:lineRule="auto"/>
        <w:ind w:firstLineChars="200" w:firstLine="480"/>
        <w:rPr>
          <w:rFonts w:ascii="宋体" w:hAnsi="宋体"/>
          <w:sz w:val="24"/>
        </w:rPr>
      </w:pPr>
      <w:r w:rsidRPr="009C6BE8">
        <w:rPr>
          <w:rFonts w:ascii="宋体" w:hAnsi="宋体"/>
          <w:sz w:val="24"/>
        </w:rPr>
        <w:t>1、</w:t>
      </w:r>
      <w:r w:rsidRPr="009C6BE8">
        <w:rPr>
          <w:rFonts w:ascii="宋体" w:hAnsi="宋体" w:hint="eastAsia"/>
          <w:sz w:val="24"/>
        </w:rPr>
        <w:t>“十四五”规划建议</w:t>
      </w:r>
      <w:r w:rsidRPr="009C6BE8">
        <w:rPr>
          <w:rFonts w:ascii="宋体" w:hAnsi="宋体"/>
          <w:sz w:val="24"/>
        </w:rPr>
        <w:t>的核心要义：三个“新”</w:t>
      </w:r>
    </w:p>
    <w:p w14:paraId="77D54BEB" w14:textId="77777777" w:rsidR="006D489D" w:rsidRPr="009C6BE8" w:rsidRDefault="006D489D" w:rsidP="009C6BE8">
      <w:pPr>
        <w:adjustRightInd w:val="0"/>
        <w:snapToGrid w:val="0"/>
        <w:spacing w:line="360" w:lineRule="auto"/>
        <w:ind w:firstLineChars="200" w:firstLine="480"/>
        <w:rPr>
          <w:rFonts w:ascii="宋体" w:hAnsi="宋体"/>
          <w:sz w:val="24"/>
        </w:rPr>
      </w:pPr>
      <w:r w:rsidRPr="009C6BE8">
        <w:rPr>
          <w:rFonts w:ascii="宋体" w:hAnsi="宋体"/>
          <w:sz w:val="24"/>
        </w:rPr>
        <w:t>2、</w:t>
      </w:r>
      <w:r w:rsidRPr="009C6BE8">
        <w:rPr>
          <w:rFonts w:ascii="宋体" w:hAnsi="宋体" w:hint="eastAsia"/>
          <w:sz w:val="24"/>
        </w:rPr>
        <w:t>“十四五”规划建议</w:t>
      </w:r>
      <w:r w:rsidRPr="009C6BE8">
        <w:rPr>
          <w:rFonts w:ascii="宋体" w:hAnsi="宋体"/>
          <w:sz w:val="24"/>
        </w:rPr>
        <w:t>中出现三个“首次”</w:t>
      </w:r>
    </w:p>
    <w:p w14:paraId="4CCE5B60" w14:textId="77777777" w:rsidR="006D489D" w:rsidRPr="009C6BE8" w:rsidRDefault="006D489D" w:rsidP="009C6BE8">
      <w:pPr>
        <w:adjustRightInd w:val="0"/>
        <w:snapToGrid w:val="0"/>
        <w:spacing w:line="360" w:lineRule="auto"/>
        <w:ind w:firstLineChars="200" w:firstLine="480"/>
        <w:rPr>
          <w:rFonts w:ascii="宋体" w:hAnsi="宋体"/>
          <w:sz w:val="24"/>
        </w:rPr>
      </w:pPr>
      <w:r w:rsidRPr="009C6BE8">
        <w:rPr>
          <w:rFonts w:ascii="宋体" w:hAnsi="宋体"/>
          <w:sz w:val="24"/>
        </w:rPr>
        <w:t>3、“十四五”规划的逻辑起点和亮点</w:t>
      </w:r>
    </w:p>
    <w:p w14:paraId="23944606" w14:textId="77777777" w:rsidR="006D489D" w:rsidRPr="009C6BE8" w:rsidRDefault="006D489D"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4</w:t>
      </w:r>
      <w:r w:rsidRPr="009C6BE8">
        <w:rPr>
          <w:rFonts w:ascii="宋体" w:hAnsi="宋体"/>
          <w:sz w:val="24"/>
        </w:rPr>
        <w:t>、“十四五”时期要贯彻新发展理念，推动中国经济高质量发展</w:t>
      </w:r>
    </w:p>
    <w:p w14:paraId="0A4F06FC" w14:textId="77777777" w:rsidR="006D489D" w:rsidRPr="009C6BE8" w:rsidRDefault="006D489D"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5</w:t>
      </w:r>
      <w:r w:rsidRPr="009C6BE8">
        <w:rPr>
          <w:rFonts w:ascii="宋体" w:hAnsi="宋体"/>
          <w:sz w:val="24"/>
        </w:rPr>
        <w:t>、“十四五”期间实现六个“新”的具体目标，做好十二项重要领域的工作</w:t>
      </w:r>
    </w:p>
    <w:p w14:paraId="0DFEAE7C" w14:textId="1C1E9154"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sz w:val="24"/>
        </w:rPr>
        <w:t>6</w:t>
      </w:r>
      <w:r w:rsidRPr="009C6BE8">
        <w:rPr>
          <w:rFonts w:ascii="宋体" w:hAnsi="宋体" w:hint="eastAsia"/>
          <w:sz w:val="24"/>
        </w:rPr>
        <w:t>、</w:t>
      </w:r>
      <w:r w:rsidR="00DD258B" w:rsidRPr="00DD258B">
        <w:rPr>
          <w:rFonts w:ascii="宋体" w:hAnsi="宋体" w:hint="eastAsia"/>
          <w:sz w:val="24"/>
        </w:rPr>
        <w:t>“十四五”规划</w:t>
      </w:r>
      <w:r w:rsidR="00F64815" w:rsidRPr="00F64815">
        <w:rPr>
          <w:rFonts w:ascii="宋体" w:hAnsi="宋体" w:hint="eastAsia"/>
          <w:sz w:val="24"/>
        </w:rPr>
        <w:t>主要目标</w:t>
      </w:r>
    </w:p>
    <w:p w14:paraId="15974846" w14:textId="0A0E4B63"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7、</w:t>
      </w:r>
      <w:r w:rsidR="00DD258B" w:rsidRPr="00DD258B">
        <w:rPr>
          <w:rFonts w:ascii="宋体" w:hAnsi="宋体" w:hint="eastAsia"/>
          <w:sz w:val="24"/>
        </w:rPr>
        <w:t>“十四五”规划</w:t>
      </w:r>
      <w:r w:rsidR="00F64815" w:rsidRPr="00F64815">
        <w:rPr>
          <w:rFonts w:ascii="宋体" w:hAnsi="宋体" w:hint="eastAsia"/>
          <w:sz w:val="24"/>
        </w:rPr>
        <w:t>重要主题</w:t>
      </w:r>
    </w:p>
    <w:p w14:paraId="387E2073" w14:textId="2D48678E"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00F64815" w:rsidRPr="00F64815">
        <w:rPr>
          <w:rFonts w:ascii="宋体" w:hAnsi="宋体"/>
          <w:sz w:val="24"/>
        </w:rPr>
        <w:t>1</w:t>
      </w:r>
      <w:r w:rsidR="00F64815" w:rsidRPr="00F64815">
        <w:rPr>
          <w:rFonts w:ascii="宋体" w:hAnsi="宋体" w:hint="eastAsia"/>
          <w:sz w:val="24"/>
        </w:rPr>
        <w:t>）实施国内国际双循环战略，进一步扩大消费内需</w:t>
      </w:r>
    </w:p>
    <w:p w14:paraId="59AFA774"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提升居民收入和信心</w:t>
      </w:r>
    </w:p>
    <w:p w14:paraId="42B7F883"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消费供给、需求和流通</w:t>
      </w:r>
    </w:p>
    <w:p w14:paraId="28D8CBAC" w14:textId="27E1574C"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00F64815" w:rsidRPr="00F64815">
        <w:rPr>
          <w:rFonts w:ascii="宋体" w:hAnsi="宋体"/>
          <w:sz w:val="24"/>
        </w:rPr>
        <w:t>2</w:t>
      </w:r>
      <w:r w:rsidR="00F64815" w:rsidRPr="00F64815">
        <w:rPr>
          <w:rFonts w:ascii="宋体" w:hAnsi="宋体" w:hint="eastAsia"/>
          <w:sz w:val="24"/>
        </w:rPr>
        <w:t>）继续对关键领域进行投资</w:t>
      </w:r>
      <w:r w:rsidRPr="009C6BE8">
        <w:rPr>
          <w:rFonts w:ascii="宋体" w:hAnsi="宋体" w:hint="eastAsia"/>
          <w:sz w:val="24"/>
        </w:rPr>
        <w:t>：两新一重与建筑行业的机遇</w:t>
      </w:r>
    </w:p>
    <w:p w14:paraId="200A4BD8"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新型城镇化建设</w:t>
      </w:r>
    </w:p>
    <w:p w14:paraId="460C6673"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lastRenderedPageBreak/>
        <w:t>——</w:t>
      </w:r>
      <w:r w:rsidRPr="00F64815">
        <w:rPr>
          <w:rFonts w:ascii="宋体" w:hAnsi="宋体" w:hint="eastAsia"/>
          <w:sz w:val="24"/>
        </w:rPr>
        <w:t>新基建</w:t>
      </w:r>
    </w:p>
    <w:p w14:paraId="64C32078"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国家重大战略项目</w:t>
      </w:r>
    </w:p>
    <w:p w14:paraId="6CBBBE1C" w14:textId="2D47C8EA"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（3）</w:t>
      </w:r>
      <w:r w:rsidR="00F64815" w:rsidRPr="00F64815">
        <w:rPr>
          <w:rFonts w:ascii="宋体" w:hAnsi="宋体" w:hint="eastAsia"/>
          <w:sz w:val="24"/>
        </w:rPr>
        <w:t>推进创新和加大研发是重中之重，增强自主可控能力和推进数字化</w:t>
      </w:r>
    </w:p>
    <w:p w14:paraId="5EBE8A76" w14:textId="3F139D86" w:rsidR="00F64815" w:rsidRPr="009C6BE8"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（4）</w:t>
      </w:r>
      <w:r w:rsidR="00F64815" w:rsidRPr="00F64815">
        <w:rPr>
          <w:rFonts w:ascii="宋体" w:hAnsi="宋体" w:hint="eastAsia"/>
          <w:sz w:val="24"/>
        </w:rPr>
        <w:t>经济结构优化升级</w:t>
      </w:r>
    </w:p>
    <w:p w14:paraId="298307A3" w14:textId="122E05EA" w:rsidR="00F64815" w:rsidRPr="00F64815" w:rsidRDefault="00F64815"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Pr="00F64815">
        <w:rPr>
          <w:rFonts w:ascii="宋体" w:hAnsi="宋体" w:hint="eastAsia"/>
          <w:sz w:val="24"/>
        </w:rPr>
        <w:t>聚焦数字化发展</w:t>
      </w:r>
    </w:p>
    <w:p w14:paraId="22C8C193" w14:textId="4B2A752E" w:rsidR="00F64815" w:rsidRPr="00F64815" w:rsidRDefault="00F64815"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Pr="00F64815">
        <w:rPr>
          <w:rFonts w:ascii="宋体" w:hAnsi="宋体" w:hint="eastAsia"/>
          <w:sz w:val="24"/>
        </w:rPr>
        <w:t>提升制造业竞争力，发展转壮大新兴产业</w:t>
      </w:r>
    </w:p>
    <w:p w14:paraId="25F74838" w14:textId="1F434359" w:rsidR="00F64815" w:rsidRPr="00F64815" w:rsidRDefault="00F64815"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Pr="00F64815">
        <w:rPr>
          <w:rFonts w:ascii="宋体" w:hAnsi="宋体" w:hint="eastAsia"/>
          <w:sz w:val="24"/>
        </w:rPr>
        <w:t>改造提升传统产业，支持服务业发展</w:t>
      </w:r>
    </w:p>
    <w:p w14:paraId="33EC71FB" w14:textId="07E2BBAC" w:rsidR="00526C2C"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（5）</w:t>
      </w:r>
      <w:r w:rsidR="00F64815" w:rsidRPr="00F64815">
        <w:rPr>
          <w:rFonts w:ascii="宋体" w:hAnsi="宋体" w:hint="eastAsia"/>
          <w:sz w:val="24"/>
        </w:rPr>
        <w:t>绿色发展</w:t>
      </w:r>
      <w:r w:rsidR="004C5FB3" w:rsidRPr="009C6BE8">
        <w:rPr>
          <w:rFonts w:ascii="宋体" w:hAnsi="宋体" w:hint="eastAsia"/>
          <w:sz w:val="24"/>
        </w:rPr>
        <w:t>、</w:t>
      </w:r>
      <w:r w:rsidR="00F64815" w:rsidRPr="00F64815">
        <w:rPr>
          <w:rFonts w:ascii="宋体" w:hAnsi="宋体" w:hint="eastAsia"/>
          <w:sz w:val="24"/>
        </w:rPr>
        <w:t>碳中和</w:t>
      </w:r>
      <w:r w:rsidRPr="009C6BE8">
        <w:rPr>
          <w:rFonts w:ascii="宋体" w:hAnsi="宋体" w:hint="eastAsia"/>
          <w:sz w:val="24"/>
        </w:rPr>
        <w:t>及其</w:t>
      </w:r>
      <w:r w:rsidRPr="00F64815">
        <w:rPr>
          <w:rFonts w:ascii="宋体" w:hAnsi="宋体" w:hint="eastAsia"/>
          <w:sz w:val="24"/>
        </w:rPr>
        <w:t>对建筑和房地产行业的冲击</w:t>
      </w:r>
    </w:p>
    <w:p w14:paraId="20C22CFE" w14:textId="535BE455" w:rsidR="00F64815" w:rsidRPr="009C6BE8"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w:t>
      </w:r>
      <w:r w:rsidRPr="009C6BE8">
        <w:rPr>
          <w:rFonts w:ascii="宋体" w:hAnsi="宋体"/>
          <w:sz w:val="24"/>
        </w:rPr>
        <w:t>6</w:t>
      </w:r>
      <w:r w:rsidRPr="009C6BE8">
        <w:rPr>
          <w:rFonts w:ascii="宋体" w:hAnsi="宋体" w:hint="eastAsia"/>
          <w:sz w:val="24"/>
        </w:rPr>
        <w:t>）</w:t>
      </w:r>
      <w:r w:rsidR="00F64815" w:rsidRPr="00F64815">
        <w:rPr>
          <w:rFonts w:ascii="宋体" w:hAnsi="宋体" w:hint="eastAsia"/>
          <w:sz w:val="24"/>
        </w:rPr>
        <w:t>深化改革、扩大开放</w:t>
      </w:r>
      <w:r w:rsidR="00F64815" w:rsidRPr="009C6BE8">
        <w:rPr>
          <w:rFonts w:ascii="宋体" w:hAnsi="宋体" w:hint="eastAsia"/>
          <w:sz w:val="24"/>
        </w:rPr>
        <w:t>，</w:t>
      </w:r>
      <w:r w:rsidR="00F64815" w:rsidRPr="00F64815">
        <w:rPr>
          <w:rFonts w:ascii="宋体" w:hAnsi="宋体" w:hint="eastAsia"/>
          <w:sz w:val="24"/>
        </w:rPr>
        <w:t>吸引更多外资流入</w:t>
      </w:r>
    </w:p>
    <w:p w14:paraId="2AE4A383" w14:textId="5609F647"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（7）</w:t>
      </w:r>
      <w:r w:rsidR="00F64815" w:rsidRPr="00F64815">
        <w:rPr>
          <w:rFonts w:ascii="宋体" w:hAnsi="宋体" w:hint="eastAsia"/>
          <w:sz w:val="24"/>
        </w:rPr>
        <w:t>增强产业链供应链自主可控能力</w:t>
      </w:r>
    </w:p>
    <w:p w14:paraId="1C42A868" w14:textId="3EC709C4"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（8）</w:t>
      </w:r>
      <w:r w:rsidR="00F64815" w:rsidRPr="00F64815">
        <w:rPr>
          <w:rFonts w:ascii="宋体" w:hAnsi="宋体" w:hint="eastAsia"/>
          <w:sz w:val="24"/>
        </w:rPr>
        <w:t>房地产政策重点围绕增加住房供给和发展租赁住房市场</w:t>
      </w:r>
    </w:p>
    <w:p w14:paraId="2BBE70FF" w14:textId="71854ECC"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（9）</w:t>
      </w:r>
      <w:r w:rsidR="00F64815" w:rsidRPr="00F64815">
        <w:rPr>
          <w:rFonts w:ascii="宋体" w:hAnsi="宋体" w:hint="eastAsia"/>
          <w:sz w:val="24"/>
        </w:rPr>
        <w:t>推进结构性改革，在“双循环”和</w:t>
      </w:r>
      <w:r w:rsidR="00DD258B" w:rsidRPr="00DD258B">
        <w:rPr>
          <w:rFonts w:ascii="宋体" w:hAnsi="宋体" w:hint="eastAsia"/>
          <w:sz w:val="24"/>
        </w:rPr>
        <w:t>“十四五”规划</w:t>
      </w:r>
      <w:r w:rsidR="00F64815" w:rsidRPr="00F64815">
        <w:rPr>
          <w:rFonts w:ascii="宋体" w:hAnsi="宋体" w:hint="eastAsia"/>
          <w:sz w:val="24"/>
        </w:rPr>
        <w:t>中释放增长潜力</w:t>
      </w:r>
    </w:p>
    <w:p w14:paraId="4401BDC7"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户籍改革方面</w:t>
      </w:r>
    </w:p>
    <w:p w14:paraId="11DA5EA7"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土地改革方面</w:t>
      </w:r>
    </w:p>
    <w:p w14:paraId="016DDA9A"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国企改革方面</w:t>
      </w:r>
    </w:p>
    <w:p w14:paraId="6E6806AE" w14:textId="77777777" w:rsidR="00F64815" w:rsidRPr="00F64815" w:rsidRDefault="00F64815" w:rsidP="009C6BE8">
      <w:pPr>
        <w:adjustRightInd w:val="0"/>
        <w:snapToGrid w:val="0"/>
        <w:spacing w:line="360" w:lineRule="auto"/>
        <w:ind w:firstLineChars="200" w:firstLine="480"/>
        <w:rPr>
          <w:rFonts w:ascii="宋体" w:hAnsi="宋体"/>
          <w:sz w:val="24"/>
        </w:rPr>
      </w:pPr>
      <w:r w:rsidRPr="00F64815">
        <w:rPr>
          <w:rFonts w:ascii="宋体" w:hAnsi="宋体"/>
          <w:sz w:val="24"/>
        </w:rPr>
        <w:t>——</w:t>
      </w:r>
      <w:r w:rsidRPr="00F64815">
        <w:rPr>
          <w:rFonts w:ascii="宋体" w:hAnsi="宋体" w:hint="eastAsia"/>
          <w:sz w:val="24"/>
        </w:rPr>
        <w:t>宏观政策方面</w:t>
      </w:r>
    </w:p>
    <w:p w14:paraId="3FC914AE" w14:textId="1C62312F" w:rsidR="00F64815" w:rsidRPr="00F64815" w:rsidRDefault="00526C2C" w:rsidP="009C6BE8">
      <w:pPr>
        <w:adjustRightInd w:val="0"/>
        <w:snapToGrid w:val="0"/>
        <w:spacing w:line="360" w:lineRule="auto"/>
        <w:ind w:firstLineChars="200" w:firstLine="480"/>
        <w:rPr>
          <w:rFonts w:ascii="宋体" w:hAnsi="宋体"/>
          <w:sz w:val="24"/>
        </w:rPr>
      </w:pPr>
      <w:r w:rsidRPr="009C6BE8">
        <w:rPr>
          <w:rFonts w:ascii="宋体" w:hAnsi="宋体" w:hint="eastAsia"/>
          <w:sz w:val="24"/>
        </w:rPr>
        <w:t>（1</w:t>
      </w:r>
      <w:r w:rsidRPr="009C6BE8">
        <w:rPr>
          <w:rFonts w:ascii="宋体" w:hAnsi="宋体"/>
          <w:sz w:val="24"/>
        </w:rPr>
        <w:t>0</w:t>
      </w:r>
      <w:r w:rsidRPr="009C6BE8">
        <w:rPr>
          <w:rFonts w:ascii="宋体" w:hAnsi="宋体" w:hint="eastAsia"/>
          <w:sz w:val="24"/>
        </w:rPr>
        <w:t>）</w:t>
      </w:r>
      <w:r w:rsidR="00F64815" w:rsidRPr="00F64815">
        <w:rPr>
          <w:rFonts w:ascii="宋体" w:hAnsi="宋体" w:hint="eastAsia"/>
          <w:sz w:val="24"/>
        </w:rPr>
        <w:t>共同富裕</w:t>
      </w:r>
    </w:p>
    <w:p w14:paraId="1B349E05" w14:textId="77777777" w:rsidR="00F64815" w:rsidRPr="00F64815" w:rsidRDefault="00F64815" w:rsidP="00F64815">
      <w:pPr>
        <w:adjustRightInd w:val="0"/>
        <w:snapToGrid w:val="0"/>
        <w:spacing w:line="360" w:lineRule="auto"/>
        <w:ind w:firstLineChars="200" w:firstLine="480"/>
        <w:rPr>
          <w:rFonts w:ascii="宋体" w:hAnsi="宋体" w:hint="eastAsia"/>
          <w:sz w:val="24"/>
        </w:rPr>
      </w:pPr>
    </w:p>
    <w:p w14:paraId="1D37CEB2" w14:textId="79DE3193" w:rsidR="008B6A20" w:rsidRPr="008B6A20" w:rsidRDefault="0026683B" w:rsidP="008B6A20">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二</w:t>
      </w:r>
      <w:r w:rsidR="008B6A20" w:rsidRPr="008B6A20">
        <w:rPr>
          <w:rFonts w:ascii="宋体" w:hAnsi="宋体" w:hint="eastAsia"/>
          <w:b/>
          <w:bCs/>
          <w:color w:val="0000FF"/>
          <w:sz w:val="24"/>
        </w:rPr>
        <w:t>、</w:t>
      </w:r>
      <w:r w:rsidR="00DD258B">
        <w:rPr>
          <w:rFonts w:ascii="宋体" w:hAnsi="宋体" w:hint="eastAsia"/>
          <w:b/>
          <w:bCs/>
          <w:color w:val="0000FF"/>
          <w:sz w:val="24"/>
        </w:rPr>
        <w:t>“</w:t>
      </w:r>
      <w:r w:rsidR="008B6A20" w:rsidRPr="008B6A20">
        <w:rPr>
          <w:rFonts w:ascii="宋体" w:hAnsi="宋体" w:hint="eastAsia"/>
          <w:b/>
          <w:bCs/>
          <w:color w:val="0000FF"/>
          <w:sz w:val="24"/>
        </w:rPr>
        <w:t>十四五</w:t>
      </w:r>
      <w:r w:rsidR="00DD258B">
        <w:rPr>
          <w:rFonts w:ascii="宋体" w:hAnsi="宋体" w:hint="eastAsia"/>
          <w:b/>
          <w:bCs/>
          <w:color w:val="0000FF"/>
          <w:sz w:val="24"/>
        </w:rPr>
        <w:t>”</w:t>
      </w:r>
      <w:r w:rsidR="008B6A20" w:rsidRPr="008B6A20">
        <w:rPr>
          <w:rFonts w:ascii="宋体" w:hAnsi="宋体" w:hint="eastAsia"/>
          <w:b/>
          <w:bCs/>
          <w:color w:val="0000FF"/>
          <w:sz w:val="24"/>
        </w:rPr>
        <w:t>规划</w:t>
      </w:r>
      <w:r w:rsidR="006D489D">
        <w:rPr>
          <w:rFonts w:ascii="宋体" w:hAnsi="宋体" w:hint="eastAsia"/>
          <w:b/>
          <w:bCs/>
          <w:color w:val="0000FF"/>
          <w:sz w:val="24"/>
        </w:rPr>
        <w:t>关于</w:t>
      </w:r>
      <w:r w:rsidR="008B6A20" w:rsidRPr="008B6A20">
        <w:rPr>
          <w:rFonts w:ascii="宋体" w:hAnsi="宋体" w:hint="eastAsia"/>
          <w:b/>
          <w:bCs/>
          <w:color w:val="0000FF"/>
          <w:sz w:val="24"/>
        </w:rPr>
        <w:t>新型城市化、</w:t>
      </w:r>
      <w:r w:rsidR="006D489D">
        <w:rPr>
          <w:rFonts w:ascii="宋体" w:hAnsi="宋体" w:hint="eastAsia"/>
          <w:b/>
          <w:bCs/>
          <w:color w:val="0000FF"/>
          <w:sz w:val="24"/>
        </w:rPr>
        <w:t>基建、</w:t>
      </w:r>
      <w:r w:rsidR="008B6A20" w:rsidRPr="008B6A20">
        <w:rPr>
          <w:rFonts w:ascii="宋体" w:hAnsi="宋体" w:hint="eastAsia"/>
          <w:b/>
          <w:bCs/>
          <w:color w:val="0000FF"/>
          <w:sz w:val="24"/>
        </w:rPr>
        <w:t>“新基建”</w:t>
      </w:r>
      <w:r w:rsidR="006D489D">
        <w:rPr>
          <w:rFonts w:ascii="宋体" w:hAnsi="宋体" w:hint="eastAsia"/>
          <w:b/>
          <w:bCs/>
          <w:color w:val="0000FF"/>
          <w:sz w:val="24"/>
        </w:rPr>
        <w:t>的表述及其</w:t>
      </w:r>
      <w:r w:rsidR="008B6A20" w:rsidRPr="008B6A20">
        <w:rPr>
          <w:rFonts w:ascii="宋体" w:hAnsi="宋体" w:hint="eastAsia"/>
          <w:b/>
          <w:bCs/>
          <w:color w:val="0000FF"/>
          <w:sz w:val="24"/>
        </w:rPr>
        <w:t>对我国建筑行业/企业的影响</w:t>
      </w:r>
    </w:p>
    <w:p w14:paraId="0A434536" w14:textId="365E808E" w:rsidR="00CD6B0A" w:rsidRDefault="008B6A20">
      <w:pPr>
        <w:adjustRightInd w:val="0"/>
        <w:snapToGrid w:val="0"/>
        <w:spacing w:line="360" w:lineRule="auto"/>
        <w:ind w:firstLineChars="200" w:firstLine="480"/>
        <w:rPr>
          <w:rFonts w:ascii="宋体" w:hAnsi="宋体"/>
          <w:sz w:val="24"/>
        </w:rPr>
      </w:pPr>
      <w:r>
        <w:rPr>
          <w:rFonts w:ascii="宋体" w:hAnsi="宋体" w:hint="eastAsia"/>
          <w:sz w:val="24"/>
        </w:rPr>
        <w:t>1、</w:t>
      </w:r>
      <w:r w:rsidR="00DD258B" w:rsidRPr="00DD258B">
        <w:rPr>
          <w:rFonts w:ascii="宋体" w:hAnsi="宋体" w:hint="eastAsia"/>
          <w:sz w:val="24"/>
        </w:rPr>
        <w:t>“十四五”规划</w:t>
      </w:r>
      <w:r w:rsidRPr="008B6A20">
        <w:rPr>
          <w:rFonts w:ascii="宋体" w:hAnsi="宋体" w:hint="eastAsia"/>
          <w:sz w:val="24"/>
        </w:rPr>
        <w:t>关于基建的表述及其对我国建筑行业/企业的影响</w:t>
      </w:r>
    </w:p>
    <w:p w14:paraId="2410FBC7" w14:textId="2F25BA2A"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sidR="00DD258B" w:rsidRPr="00DD258B">
        <w:rPr>
          <w:rFonts w:ascii="宋体" w:hAnsi="宋体" w:hint="eastAsia"/>
          <w:sz w:val="24"/>
        </w:rPr>
        <w:t>“十四五”规划</w:t>
      </w:r>
      <w:r w:rsidRPr="008B6A20">
        <w:rPr>
          <w:rFonts w:ascii="宋体" w:hAnsi="宋体" w:hint="eastAsia"/>
          <w:sz w:val="24"/>
        </w:rPr>
        <w:t>关于新型城市化的表述及其对我国建筑行业/企业的影响</w:t>
      </w:r>
    </w:p>
    <w:p w14:paraId="1B3539CB" w14:textId="23D9118F" w:rsidR="00757D5A" w:rsidRPr="00B779AF" w:rsidRDefault="00B779AF" w:rsidP="00B779AF">
      <w:pPr>
        <w:adjustRightInd w:val="0"/>
        <w:snapToGrid w:val="0"/>
        <w:spacing w:line="360" w:lineRule="auto"/>
        <w:ind w:firstLineChars="200" w:firstLine="480"/>
        <w:rPr>
          <w:rFonts w:ascii="宋体" w:hAnsi="宋体"/>
          <w:sz w:val="24"/>
        </w:rPr>
      </w:pPr>
      <w:r w:rsidRPr="00B779AF">
        <w:rPr>
          <w:rFonts w:ascii="宋体" w:hAnsi="宋体"/>
          <w:sz w:val="24"/>
        </w:rPr>
        <w:t>——</w:t>
      </w:r>
      <w:r w:rsidR="00757D5A" w:rsidRPr="00B779AF">
        <w:rPr>
          <w:rFonts w:ascii="宋体" w:hAnsi="宋体" w:hint="eastAsia"/>
          <w:sz w:val="24"/>
        </w:rPr>
        <w:t>完善新型城镇化战略</w:t>
      </w:r>
      <w:r w:rsidRPr="00B779AF">
        <w:rPr>
          <w:rFonts w:ascii="宋体" w:hAnsi="宋体"/>
          <w:sz w:val="24"/>
        </w:rPr>
        <w:t>，</w:t>
      </w:r>
      <w:r w:rsidR="00757D5A" w:rsidRPr="00B779AF">
        <w:rPr>
          <w:rFonts w:ascii="宋体" w:hAnsi="宋体" w:hint="eastAsia"/>
          <w:sz w:val="24"/>
        </w:rPr>
        <w:t>提升城镇化发展质量</w:t>
      </w:r>
    </w:p>
    <w:p w14:paraId="598360EE" w14:textId="7C51C71C" w:rsidR="00B779AF" w:rsidRPr="00B779AF" w:rsidRDefault="00B779AF" w:rsidP="00B779AF">
      <w:pPr>
        <w:adjustRightInd w:val="0"/>
        <w:snapToGrid w:val="0"/>
        <w:spacing w:line="360" w:lineRule="auto"/>
        <w:ind w:firstLineChars="200" w:firstLine="480"/>
        <w:rPr>
          <w:rFonts w:ascii="宋体" w:hAnsi="宋体" w:hint="eastAsia"/>
          <w:sz w:val="24"/>
        </w:rPr>
      </w:pPr>
      <w:r w:rsidRPr="00B779AF">
        <w:rPr>
          <w:rFonts w:ascii="宋体" w:hAnsi="宋体" w:hint="eastAsia"/>
          <w:sz w:val="24"/>
        </w:rPr>
        <w:t>——城镇化率提高1个百分点</w:t>
      </w:r>
    </w:p>
    <w:p w14:paraId="4D03720C" w14:textId="58AECC5C" w:rsidR="00757D5A" w:rsidRPr="00757D5A" w:rsidRDefault="00B779AF" w:rsidP="008B6A20">
      <w:pPr>
        <w:adjustRightInd w:val="0"/>
        <w:snapToGrid w:val="0"/>
        <w:spacing w:line="360" w:lineRule="auto"/>
        <w:ind w:firstLineChars="200" w:firstLine="480"/>
        <w:rPr>
          <w:rFonts w:ascii="宋体" w:hAnsi="宋体" w:hint="eastAsia"/>
          <w:sz w:val="24"/>
        </w:rPr>
      </w:pPr>
      <w:r>
        <w:rPr>
          <w:rFonts w:ascii="宋体" w:hAnsi="宋体" w:hint="eastAsia"/>
          <w:sz w:val="24"/>
        </w:rPr>
        <w:t>——放开户籍限制、农村土地流转等</w:t>
      </w:r>
    </w:p>
    <w:p w14:paraId="08792250" w14:textId="697D5967"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sidR="00DD258B" w:rsidRPr="00DD258B">
        <w:rPr>
          <w:rFonts w:ascii="宋体" w:hAnsi="宋体" w:hint="eastAsia"/>
          <w:sz w:val="24"/>
        </w:rPr>
        <w:t>“十四五”规划</w:t>
      </w:r>
      <w:r w:rsidRPr="008B6A20">
        <w:rPr>
          <w:rFonts w:ascii="宋体" w:hAnsi="宋体" w:hint="eastAsia"/>
          <w:sz w:val="24"/>
        </w:rPr>
        <w:t>关于城市群、都市圈表述及其对我国建筑行业/企业的影响</w:t>
      </w:r>
    </w:p>
    <w:p w14:paraId="3A97D810" w14:textId="718BBF82" w:rsidR="008B6A20" w:rsidRDefault="008B6A20" w:rsidP="008B6A20">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sidR="00DD258B" w:rsidRPr="00DD258B">
        <w:rPr>
          <w:rFonts w:ascii="宋体" w:hAnsi="宋体" w:hint="eastAsia"/>
          <w:sz w:val="24"/>
        </w:rPr>
        <w:t>“十四五”规划</w:t>
      </w:r>
      <w:r w:rsidRPr="008B6A20">
        <w:rPr>
          <w:rFonts w:ascii="宋体" w:hAnsi="宋体" w:hint="eastAsia"/>
          <w:sz w:val="24"/>
        </w:rPr>
        <w:t>关于“新基建”的表述及其对我国建筑行业/企业的影响</w:t>
      </w:r>
    </w:p>
    <w:p w14:paraId="5D73A845" w14:textId="1B8331DC" w:rsidR="00C96014" w:rsidRPr="00B779AF" w:rsidRDefault="0026683B" w:rsidP="00B779AF">
      <w:pPr>
        <w:adjustRightInd w:val="0"/>
        <w:snapToGrid w:val="0"/>
        <w:spacing w:line="360" w:lineRule="auto"/>
        <w:ind w:firstLineChars="200" w:firstLine="480"/>
        <w:rPr>
          <w:rFonts w:ascii="宋体" w:hAnsi="宋体"/>
          <w:sz w:val="24"/>
        </w:rPr>
      </w:pPr>
      <w:r>
        <w:rPr>
          <w:rFonts w:ascii="宋体" w:hAnsi="宋体"/>
          <w:sz w:val="24"/>
        </w:rPr>
        <w:t>5</w:t>
      </w:r>
      <w:r w:rsidR="00B779AF" w:rsidRPr="00B779AF">
        <w:rPr>
          <w:rFonts w:ascii="宋体" w:hAnsi="宋体" w:hint="eastAsia"/>
          <w:sz w:val="24"/>
        </w:rPr>
        <w:t>、</w:t>
      </w:r>
      <w:r w:rsidR="00C96014" w:rsidRPr="00B779AF">
        <w:rPr>
          <w:rFonts w:ascii="宋体" w:hAnsi="宋体"/>
          <w:sz w:val="24"/>
        </w:rPr>
        <w:t>“十四五”时期</w:t>
      </w:r>
      <w:r w:rsidR="00C96014" w:rsidRPr="00B779AF">
        <w:rPr>
          <w:rFonts w:ascii="宋体" w:hAnsi="宋体" w:hint="eastAsia"/>
          <w:sz w:val="24"/>
        </w:rPr>
        <w:t>建筑企业的发展机遇</w:t>
      </w:r>
    </w:p>
    <w:p w14:paraId="584CAC35" w14:textId="4A38841F" w:rsidR="00B779AF" w:rsidRPr="00B779AF" w:rsidRDefault="00B779AF" w:rsidP="00B779AF">
      <w:pPr>
        <w:adjustRightInd w:val="0"/>
        <w:snapToGrid w:val="0"/>
        <w:spacing w:line="360" w:lineRule="auto"/>
        <w:ind w:firstLineChars="200" w:firstLine="480"/>
        <w:rPr>
          <w:rFonts w:ascii="宋体" w:hAnsi="宋体"/>
          <w:sz w:val="24"/>
        </w:rPr>
      </w:pPr>
      <w:r w:rsidRPr="00B779AF">
        <w:rPr>
          <w:rFonts w:ascii="宋体" w:hAnsi="宋体" w:hint="eastAsia"/>
          <w:sz w:val="24"/>
        </w:rPr>
        <w:t>——</w:t>
      </w:r>
      <w:r w:rsidRPr="00B779AF">
        <w:rPr>
          <w:rFonts w:ascii="宋体" w:hAnsi="宋体" w:hint="eastAsia"/>
          <w:sz w:val="24"/>
        </w:rPr>
        <w:t>在经济“双循环”中，基建必将扮演重要角色</w:t>
      </w:r>
    </w:p>
    <w:p w14:paraId="390B444C" w14:textId="3E121F6F" w:rsidR="00C96014" w:rsidRPr="00B779AF" w:rsidRDefault="00C96014" w:rsidP="00B779AF">
      <w:pPr>
        <w:adjustRightInd w:val="0"/>
        <w:snapToGrid w:val="0"/>
        <w:spacing w:line="360" w:lineRule="auto"/>
        <w:ind w:firstLineChars="200" w:firstLine="480"/>
        <w:rPr>
          <w:rFonts w:ascii="宋体" w:hAnsi="宋体" w:hint="eastAsia"/>
          <w:sz w:val="24"/>
        </w:rPr>
      </w:pPr>
      <w:r w:rsidRPr="00B779AF">
        <w:rPr>
          <w:rFonts w:ascii="宋体" w:hAnsi="宋体" w:hint="eastAsia"/>
          <w:sz w:val="24"/>
        </w:rPr>
        <w:lastRenderedPageBreak/>
        <w:t>——</w:t>
      </w:r>
      <w:r w:rsidRPr="00F64815">
        <w:rPr>
          <w:rFonts w:ascii="宋体" w:hAnsi="宋体" w:hint="eastAsia"/>
          <w:sz w:val="24"/>
        </w:rPr>
        <w:t>继续对关键领域进行投资</w:t>
      </w:r>
      <w:r w:rsidRPr="00B779AF">
        <w:rPr>
          <w:rFonts w:ascii="宋体" w:hAnsi="宋体" w:hint="eastAsia"/>
          <w:sz w:val="24"/>
        </w:rPr>
        <w:t>：两新一重与建筑行业的机遇</w:t>
      </w:r>
    </w:p>
    <w:p w14:paraId="0047DA4D" w14:textId="6AB8675A" w:rsidR="00C96014" w:rsidRPr="00F64815" w:rsidRDefault="00C96014" w:rsidP="00B779AF">
      <w:pPr>
        <w:adjustRightInd w:val="0"/>
        <w:snapToGrid w:val="0"/>
        <w:spacing w:line="360" w:lineRule="auto"/>
        <w:ind w:firstLineChars="200" w:firstLine="480"/>
        <w:rPr>
          <w:rFonts w:ascii="宋体" w:hAnsi="宋体"/>
          <w:sz w:val="24"/>
        </w:rPr>
      </w:pPr>
      <w:r w:rsidRPr="00B779AF">
        <w:rPr>
          <w:rFonts w:ascii="宋体" w:hAnsi="宋体" w:hint="eastAsia"/>
          <w:sz w:val="24"/>
        </w:rPr>
        <w:t>——</w:t>
      </w:r>
      <w:r w:rsidRPr="00F64815">
        <w:rPr>
          <w:rFonts w:ascii="宋体" w:hAnsi="宋体" w:hint="eastAsia"/>
          <w:sz w:val="24"/>
        </w:rPr>
        <w:t>绿色发展</w:t>
      </w:r>
      <w:r w:rsidR="004C5FB3" w:rsidRPr="00B779AF">
        <w:rPr>
          <w:rFonts w:ascii="宋体" w:hAnsi="宋体" w:hint="eastAsia"/>
          <w:sz w:val="24"/>
        </w:rPr>
        <w:t>、</w:t>
      </w:r>
      <w:r w:rsidRPr="00F64815">
        <w:rPr>
          <w:rFonts w:ascii="宋体" w:hAnsi="宋体" w:hint="eastAsia"/>
          <w:sz w:val="24"/>
        </w:rPr>
        <w:t>碳中和</w:t>
      </w:r>
      <w:r w:rsidRPr="00B779AF">
        <w:rPr>
          <w:rFonts w:ascii="宋体" w:hAnsi="宋体" w:hint="eastAsia"/>
          <w:sz w:val="24"/>
        </w:rPr>
        <w:t>及其对</w:t>
      </w:r>
      <w:r w:rsidRPr="00F64815">
        <w:rPr>
          <w:rFonts w:ascii="宋体" w:hAnsi="宋体" w:hint="eastAsia"/>
          <w:sz w:val="24"/>
        </w:rPr>
        <w:t>建筑和房地产行业的冲击</w:t>
      </w:r>
    </w:p>
    <w:p w14:paraId="2670F905" w14:textId="77777777" w:rsidR="00B56A39" w:rsidRPr="002A2DB7" w:rsidRDefault="00B56A39">
      <w:pPr>
        <w:adjustRightInd w:val="0"/>
        <w:snapToGrid w:val="0"/>
        <w:spacing w:line="360" w:lineRule="auto"/>
        <w:ind w:firstLineChars="200" w:firstLine="480"/>
        <w:rPr>
          <w:rFonts w:ascii="宋体" w:hAnsi="宋体"/>
          <w:sz w:val="24"/>
        </w:rPr>
      </w:pPr>
    </w:p>
    <w:p w14:paraId="570DF87A" w14:textId="7C147D3D" w:rsidR="00B56A39" w:rsidRPr="00B779AF" w:rsidRDefault="00C832ED" w:rsidP="00B779AF">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三</w:t>
      </w:r>
      <w:r w:rsidR="009B2BAC" w:rsidRPr="00B779AF">
        <w:rPr>
          <w:rFonts w:ascii="宋体" w:hAnsi="宋体" w:hint="eastAsia"/>
          <w:b/>
          <w:bCs/>
          <w:color w:val="0000FF"/>
          <w:sz w:val="24"/>
        </w:rPr>
        <w:t>、</w:t>
      </w:r>
      <w:r w:rsidR="00B56A39" w:rsidRPr="00B779AF">
        <w:rPr>
          <w:rFonts w:ascii="宋体" w:hAnsi="宋体" w:hint="eastAsia"/>
          <w:b/>
          <w:bCs/>
          <w:color w:val="0000FF"/>
          <w:sz w:val="24"/>
        </w:rPr>
        <w:t>粤港澳大湾区</w:t>
      </w:r>
      <w:r w:rsidR="00E3763D">
        <w:rPr>
          <w:rFonts w:ascii="宋体" w:hAnsi="宋体" w:hint="eastAsia"/>
          <w:b/>
          <w:bCs/>
          <w:color w:val="0000FF"/>
          <w:sz w:val="24"/>
        </w:rPr>
        <w:t>都市圈建设</w:t>
      </w:r>
      <w:r w:rsidR="00BE10CD" w:rsidRPr="00B779AF">
        <w:rPr>
          <w:rFonts w:ascii="宋体" w:hAnsi="宋体" w:hint="eastAsia"/>
          <w:b/>
          <w:bCs/>
          <w:color w:val="0000FF"/>
          <w:sz w:val="24"/>
        </w:rPr>
        <w:t>给陕建五局</w:t>
      </w:r>
      <w:r w:rsidR="00B56A39" w:rsidRPr="00B779AF">
        <w:rPr>
          <w:rFonts w:ascii="宋体" w:hAnsi="宋体" w:hint="eastAsia"/>
          <w:b/>
          <w:bCs/>
          <w:color w:val="0000FF"/>
          <w:sz w:val="24"/>
        </w:rPr>
        <w:t>带来的</w:t>
      </w:r>
      <w:r w:rsidR="00BE10CD" w:rsidRPr="00B779AF">
        <w:rPr>
          <w:rFonts w:ascii="宋体" w:hAnsi="宋体" w:hint="eastAsia"/>
          <w:b/>
          <w:bCs/>
          <w:color w:val="0000FF"/>
          <w:sz w:val="24"/>
        </w:rPr>
        <w:t>机遇与挑战</w:t>
      </w:r>
    </w:p>
    <w:p w14:paraId="539BCCF8" w14:textId="25016A92" w:rsidR="001F1BDE" w:rsidRPr="00AA65AF" w:rsidRDefault="001F1BDE">
      <w:pPr>
        <w:adjustRightInd w:val="0"/>
        <w:snapToGrid w:val="0"/>
        <w:spacing w:line="360" w:lineRule="auto"/>
        <w:ind w:firstLineChars="200" w:firstLine="480"/>
        <w:rPr>
          <w:rFonts w:ascii="宋体" w:hAnsi="宋体"/>
          <w:sz w:val="24"/>
        </w:rPr>
      </w:pPr>
      <w:r w:rsidRPr="00AA65AF">
        <w:rPr>
          <w:rFonts w:ascii="宋体" w:hAnsi="宋体" w:hint="eastAsia"/>
          <w:sz w:val="24"/>
        </w:rPr>
        <w:t>1、</w:t>
      </w:r>
      <w:r w:rsidRPr="00AA65AF">
        <w:rPr>
          <w:rFonts w:ascii="宋体" w:hAnsi="宋体" w:hint="eastAsia"/>
          <w:sz w:val="24"/>
        </w:rPr>
        <w:t>粤港澳大湾区的发展现状</w:t>
      </w:r>
    </w:p>
    <w:p w14:paraId="470AAD84" w14:textId="7D0D8D90" w:rsidR="001F1BDE" w:rsidRPr="00AA65AF" w:rsidRDefault="00E604E1">
      <w:pPr>
        <w:adjustRightInd w:val="0"/>
        <w:snapToGrid w:val="0"/>
        <w:spacing w:line="360" w:lineRule="auto"/>
        <w:ind w:firstLineChars="200" w:firstLine="480"/>
        <w:rPr>
          <w:rFonts w:ascii="宋体" w:hAnsi="宋体"/>
          <w:sz w:val="24"/>
        </w:rPr>
      </w:pPr>
      <w:r>
        <w:rPr>
          <w:rFonts w:ascii="宋体" w:hAnsi="宋体"/>
          <w:sz w:val="24"/>
        </w:rPr>
        <w:t>2</w:t>
      </w:r>
      <w:r w:rsidR="001F1BDE" w:rsidRPr="00AA65AF">
        <w:rPr>
          <w:rFonts w:ascii="宋体" w:hAnsi="宋体" w:hint="eastAsia"/>
          <w:sz w:val="24"/>
        </w:rPr>
        <w:t>、</w:t>
      </w:r>
      <w:r w:rsidR="001F1BDE" w:rsidRPr="00AA65AF">
        <w:rPr>
          <w:rFonts w:ascii="宋体" w:hAnsi="宋体" w:hint="eastAsia"/>
          <w:sz w:val="24"/>
        </w:rPr>
        <w:t>粤港澳大湾区发展要素</w:t>
      </w:r>
    </w:p>
    <w:p w14:paraId="5FF1C7A8" w14:textId="3344467B" w:rsidR="001F1BDE" w:rsidRPr="001F1BDE" w:rsidRDefault="00B626DC" w:rsidP="001F1BDE">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001F1BDE" w:rsidRPr="001F1BDE">
        <w:rPr>
          <w:rFonts w:ascii="宋体" w:hAnsi="宋体" w:hint="eastAsia"/>
          <w:sz w:val="24"/>
        </w:rPr>
        <w:t>区位优势明显</w:t>
      </w:r>
    </w:p>
    <w:p w14:paraId="4D6D15ED" w14:textId="74E860B1" w:rsidR="001F1BDE" w:rsidRPr="001F1BDE" w:rsidRDefault="00B626DC" w:rsidP="001F1BDE">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001F1BDE" w:rsidRPr="001F1BDE">
        <w:rPr>
          <w:rFonts w:ascii="宋体" w:hAnsi="宋体" w:hint="eastAsia"/>
          <w:sz w:val="24"/>
        </w:rPr>
        <w:t>交运网络发达</w:t>
      </w:r>
    </w:p>
    <w:p w14:paraId="50B885C8" w14:textId="0077C1A1" w:rsidR="001F1BDE" w:rsidRPr="001F1BDE" w:rsidRDefault="00B626DC" w:rsidP="001F1BDE">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001F1BDE" w:rsidRPr="001F1BDE">
        <w:rPr>
          <w:rFonts w:ascii="宋体" w:hAnsi="宋体" w:hint="eastAsia"/>
          <w:sz w:val="24"/>
        </w:rPr>
        <w:t>创新要素集聚</w:t>
      </w:r>
    </w:p>
    <w:p w14:paraId="259DC2DC" w14:textId="5FC9A473" w:rsidR="001F1BDE" w:rsidRPr="001F1BDE" w:rsidRDefault="00B626DC" w:rsidP="001F1BDE">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001F1BDE" w:rsidRPr="001F1BDE">
        <w:rPr>
          <w:rFonts w:ascii="宋体" w:hAnsi="宋体" w:hint="eastAsia"/>
          <w:sz w:val="24"/>
        </w:rPr>
        <w:t>产业多元互补</w:t>
      </w:r>
    </w:p>
    <w:p w14:paraId="59EDF2B7" w14:textId="62417471" w:rsidR="001F1BDE" w:rsidRPr="001F1BDE" w:rsidRDefault="00B626DC" w:rsidP="001F1BDE">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001F1BDE" w:rsidRPr="001F1BDE">
        <w:rPr>
          <w:rFonts w:ascii="宋体" w:hAnsi="宋体" w:hint="eastAsia"/>
          <w:sz w:val="24"/>
        </w:rPr>
        <w:t>国际化水平领先</w:t>
      </w:r>
    </w:p>
    <w:p w14:paraId="2D1F2599" w14:textId="7B0C2237" w:rsidR="001F1BDE" w:rsidRPr="001F1BDE" w:rsidRDefault="00E604E1" w:rsidP="001F1BDE">
      <w:pPr>
        <w:adjustRightInd w:val="0"/>
        <w:snapToGrid w:val="0"/>
        <w:spacing w:line="360" w:lineRule="auto"/>
        <w:ind w:firstLineChars="200" w:firstLine="480"/>
        <w:rPr>
          <w:rFonts w:ascii="宋体" w:hAnsi="宋体"/>
          <w:sz w:val="24"/>
        </w:rPr>
      </w:pPr>
      <w:r>
        <w:rPr>
          <w:rFonts w:ascii="宋体" w:hAnsi="宋体"/>
          <w:sz w:val="24"/>
        </w:rPr>
        <w:t>3</w:t>
      </w:r>
      <w:r w:rsidR="001F1BDE" w:rsidRPr="00AA65AF">
        <w:rPr>
          <w:rFonts w:ascii="宋体" w:hAnsi="宋体" w:hint="eastAsia"/>
          <w:sz w:val="24"/>
        </w:rPr>
        <w:t>、</w:t>
      </w:r>
      <w:r w:rsidR="001F1BDE" w:rsidRPr="001F1BDE">
        <w:rPr>
          <w:rFonts w:ascii="宋体" w:hAnsi="宋体" w:hint="eastAsia"/>
          <w:sz w:val="24"/>
        </w:rPr>
        <w:t>粤港澳大湾区的战略定位</w:t>
      </w:r>
    </w:p>
    <w:p w14:paraId="76FE392A" w14:textId="08F930E4" w:rsidR="00B626DC" w:rsidRPr="00AA65AF" w:rsidRDefault="00E604E1">
      <w:pPr>
        <w:adjustRightInd w:val="0"/>
        <w:snapToGrid w:val="0"/>
        <w:spacing w:line="360" w:lineRule="auto"/>
        <w:ind w:firstLineChars="200" w:firstLine="480"/>
        <w:rPr>
          <w:rFonts w:ascii="宋体" w:hAnsi="宋体"/>
          <w:sz w:val="24"/>
        </w:rPr>
      </w:pPr>
      <w:r>
        <w:rPr>
          <w:rFonts w:ascii="宋体" w:hAnsi="宋体"/>
          <w:sz w:val="24"/>
        </w:rPr>
        <w:t>4</w:t>
      </w:r>
      <w:r w:rsidR="00B626DC" w:rsidRPr="00AA65AF">
        <w:rPr>
          <w:rFonts w:ascii="宋体" w:hAnsi="宋体" w:hint="eastAsia"/>
          <w:sz w:val="24"/>
        </w:rPr>
        <w:t>、</w:t>
      </w:r>
      <w:r w:rsidR="00B626DC" w:rsidRPr="00AA65AF">
        <w:rPr>
          <w:rFonts w:ascii="宋体" w:hAnsi="宋体" w:hint="eastAsia"/>
          <w:sz w:val="24"/>
        </w:rPr>
        <w:t>粤港澳大湾区的空间重构</w:t>
      </w:r>
    </w:p>
    <w:p w14:paraId="21FB63A1" w14:textId="376B01C3" w:rsidR="00B626DC" w:rsidRPr="00B626DC" w:rsidRDefault="00B626DC" w:rsidP="00B626DC">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Pr="00B626DC">
        <w:rPr>
          <w:rFonts w:ascii="宋体" w:hAnsi="宋体" w:hint="eastAsia"/>
          <w:sz w:val="24"/>
        </w:rPr>
        <w:t>南北纵向主次发展轴</w:t>
      </w:r>
    </w:p>
    <w:p w14:paraId="080126B3" w14:textId="44497696" w:rsidR="001F1BDE" w:rsidRPr="00AA65AF" w:rsidRDefault="00E604E1">
      <w:pPr>
        <w:adjustRightInd w:val="0"/>
        <w:snapToGrid w:val="0"/>
        <w:spacing w:line="360" w:lineRule="auto"/>
        <w:ind w:firstLineChars="200" w:firstLine="480"/>
        <w:rPr>
          <w:rFonts w:ascii="宋体" w:hAnsi="宋体"/>
          <w:sz w:val="24"/>
        </w:rPr>
      </w:pPr>
      <w:r>
        <w:rPr>
          <w:rFonts w:ascii="宋体" w:hAnsi="宋体"/>
          <w:sz w:val="24"/>
        </w:rPr>
        <w:t>5</w:t>
      </w:r>
      <w:r w:rsidR="00B626DC" w:rsidRPr="00AA65AF">
        <w:rPr>
          <w:rFonts w:ascii="宋体" w:hAnsi="宋体" w:hint="eastAsia"/>
          <w:sz w:val="24"/>
        </w:rPr>
        <w:t>、</w:t>
      </w:r>
      <w:r w:rsidR="001F1BDE" w:rsidRPr="00AA65AF">
        <w:rPr>
          <w:rFonts w:ascii="宋体" w:hAnsi="宋体" w:hint="eastAsia"/>
          <w:sz w:val="24"/>
        </w:rPr>
        <w:t>粤港澳大湾区的产业布局</w:t>
      </w:r>
    </w:p>
    <w:p w14:paraId="1CD79300" w14:textId="1816255B" w:rsidR="00B626DC" w:rsidRPr="00AA65AF" w:rsidRDefault="00E604E1" w:rsidP="00B626DC">
      <w:pPr>
        <w:adjustRightInd w:val="0"/>
        <w:snapToGrid w:val="0"/>
        <w:spacing w:line="360" w:lineRule="auto"/>
        <w:ind w:firstLineChars="200" w:firstLine="480"/>
        <w:rPr>
          <w:rFonts w:ascii="宋体" w:hAnsi="宋体"/>
          <w:sz w:val="24"/>
        </w:rPr>
      </w:pPr>
      <w:r>
        <w:rPr>
          <w:rFonts w:ascii="宋体" w:hAnsi="宋体"/>
          <w:sz w:val="24"/>
        </w:rPr>
        <w:t>6</w:t>
      </w:r>
      <w:r w:rsidR="00B626DC" w:rsidRPr="00AA65AF">
        <w:rPr>
          <w:rFonts w:ascii="宋体" w:hAnsi="宋体" w:hint="eastAsia"/>
          <w:sz w:val="24"/>
        </w:rPr>
        <w:t>、</w:t>
      </w:r>
      <w:r w:rsidR="00B626DC" w:rsidRPr="00AA65AF">
        <w:rPr>
          <w:rFonts w:ascii="宋体" w:hAnsi="宋体" w:hint="eastAsia"/>
          <w:sz w:val="24"/>
        </w:rPr>
        <w:t>粤港澳大湾区的区域内分工与合作</w:t>
      </w:r>
    </w:p>
    <w:p w14:paraId="781754F4" w14:textId="47CF0816" w:rsidR="00B626DC" w:rsidRPr="00B626DC" w:rsidRDefault="00B626DC" w:rsidP="00B626DC">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Pr="00B626DC">
        <w:rPr>
          <w:rFonts w:ascii="宋体" w:hAnsi="宋体" w:hint="eastAsia"/>
          <w:sz w:val="24"/>
        </w:rPr>
        <w:t>各个城市的一体化与协同效应</w:t>
      </w:r>
    </w:p>
    <w:p w14:paraId="712A8901" w14:textId="3918BFBC" w:rsidR="00E604E1" w:rsidRPr="00E604E1" w:rsidRDefault="002B6256" w:rsidP="00E604E1">
      <w:pPr>
        <w:adjustRightInd w:val="0"/>
        <w:snapToGrid w:val="0"/>
        <w:spacing w:line="360" w:lineRule="auto"/>
        <w:ind w:firstLineChars="200" w:firstLine="480"/>
        <w:rPr>
          <w:rFonts w:ascii="宋体" w:hAnsi="宋体"/>
          <w:sz w:val="24"/>
        </w:rPr>
      </w:pPr>
      <w:r>
        <w:rPr>
          <w:rFonts w:ascii="宋体" w:hAnsi="宋体"/>
          <w:sz w:val="24"/>
        </w:rPr>
        <w:t>7</w:t>
      </w:r>
      <w:r w:rsidR="00E604E1" w:rsidRPr="00E604E1">
        <w:rPr>
          <w:rFonts w:ascii="宋体" w:hAnsi="宋体" w:hint="eastAsia"/>
          <w:sz w:val="24"/>
        </w:rPr>
        <w:t>、</w:t>
      </w:r>
      <w:r w:rsidR="00E604E1" w:rsidRPr="00E604E1">
        <w:rPr>
          <w:rFonts w:ascii="宋体" w:hAnsi="宋体" w:hint="eastAsia"/>
          <w:sz w:val="24"/>
        </w:rPr>
        <w:t>大湾区9+2城梯队划分</w:t>
      </w:r>
    </w:p>
    <w:p w14:paraId="00F2E745" w14:textId="28BBC77E" w:rsidR="00E604E1" w:rsidRPr="00E604E1" w:rsidRDefault="002B6256" w:rsidP="00E604E1">
      <w:pPr>
        <w:adjustRightInd w:val="0"/>
        <w:snapToGrid w:val="0"/>
        <w:spacing w:line="360" w:lineRule="auto"/>
        <w:ind w:firstLineChars="200" w:firstLine="480"/>
        <w:rPr>
          <w:rFonts w:ascii="宋体" w:hAnsi="宋体"/>
          <w:sz w:val="24"/>
        </w:rPr>
      </w:pPr>
      <w:r>
        <w:rPr>
          <w:rFonts w:ascii="宋体" w:hAnsi="宋体"/>
          <w:sz w:val="24"/>
        </w:rPr>
        <w:t>8</w:t>
      </w:r>
      <w:r w:rsidR="00E604E1" w:rsidRPr="00E604E1">
        <w:rPr>
          <w:rFonts w:ascii="宋体" w:hAnsi="宋体" w:hint="eastAsia"/>
          <w:sz w:val="24"/>
        </w:rPr>
        <w:t>、</w:t>
      </w:r>
      <w:r w:rsidR="00E604E1" w:rsidRPr="00E604E1">
        <w:rPr>
          <w:rFonts w:ascii="宋体" w:hAnsi="宋体" w:hint="eastAsia"/>
          <w:sz w:val="24"/>
        </w:rPr>
        <w:t>粤港澳大湾区房产市场特点</w:t>
      </w:r>
    </w:p>
    <w:p w14:paraId="7E96C10B" w14:textId="09812A42"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9、</w:t>
      </w:r>
      <w:r w:rsidR="00E3763D" w:rsidRPr="00E604E1">
        <w:rPr>
          <w:rFonts w:ascii="宋体" w:hAnsi="宋体" w:hint="eastAsia"/>
          <w:sz w:val="24"/>
        </w:rPr>
        <w:t>粤港澳</w:t>
      </w:r>
      <w:r w:rsidRPr="00E604E1">
        <w:rPr>
          <w:rFonts w:ascii="宋体" w:hAnsi="宋体"/>
          <w:sz w:val="24"/>
        </w:rPr>
        <w:t>大湾区未来房产需求空间大</w:t>
      </w:r>
    </w:p>
    <w:p w14:paraId="7878B93B" w14:textId="4FE4FF3C"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w:t>
      </w:r>
      <w:r w:rsidRPr="00E604E1">
        <w:rPr>
          <w:rFonts w:ascii="宋体" w:hAnsi="宋体"/>
          <w:sz w:val="24"/>
        </w:rPr>
        <w:t>粤港澳大湾区市场经济活力强，民营经济高度发达，带动了大量就业和人口的增长。人口流动从个人流动转向举家流动，家庭流动人口对品质居住的要求更高。</w:t>
      </w:r>
    </w:p>
    <w:p w14:paraId="34E617E0" w14:textId="56487DCE"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w:t>
      </w:r>
      <w:r w:rsidRPr="00E604E1">
        <w:rPr>
          <w:rFonts w:ascii="宋体" w:hAnsi="宋体"/>
          <w:sz w:val="24"/>
        </w:rPr>
        <w:t>粤港澳大湾区11城中有8城住房自有率低于60%，其中深圳仅为23.7%。香港、深圳、广州三个核心城市的人均居住面积距离全国平均水平还存在一定差距。</w:t>
      </w:r>
    </w:p>
    <w:p w14:paraId="6C3B22E5" w14:textId="5A5A2908" w:rsid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w:t>
      </w:r>
      <w:r w:rsidRPr="00E604E1">
        <w:rPr>
          <w:rFonts w:ascii="宋体" w:hAnsi="宋体"/>
          <w:sz w:val="24"/>
        </w:rPr>
        <w:t>大湾区未来市场规模和潜力还有很大空间，且这部分需求主要集中在核心城市。因此大湾区住房问题的核心就是大城市的住房问题。</w:t>
      </w:r>
    </w:p>
    <w:p w14:paraId="2A84E88D" w14:textId="772B91A9"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1</w:t>
      </w:r>
      <w:r w:rsidRPr="00E604E1">
        <w:rPr>
          <w:rFonts w:ascii="宋体" w:hAnsi="宋体"/>
          <w:sz w:val="24"/>
        </w:rPr>
        <w:t>0</w:t>
      </w:r>
      <w:r w:rsidRPr="00E604E1">
        <w:rPr>
          <w:rFonts w:ascii="宋体" w:hAnsi="宋体" w:hint="eastAsia"/>
          <w:sz w:val="24"/>
        </w:rPr>
        <w:t>、</w:t>
      </w:r>
      <w:r w:rsidR="00E3763D" w:rsidRPr="00E604E1">
        <w:rPr>
          <w:rFonts w:ascii="宋体" w:hAnsi="宋体" w:hint="eastAsia"/>
          <w:sz w:val="24"/>
        </w:rPr>
        <w:t>粤港澳</w:t>
      </w:r>
      <w:r w:rsidR="00E3763D">
        <w:rPr>
          <w:rFonts w:ascii="宋体" w:hAnsi="宋体" w:hint="eastAsia"/>
          <w:sz w:val="24"/>
        </w:rPr>
        <w:t>大湾区</w:t>
      </w:r>
      <w:r w:rsidRPr="00E604E1">
        <w:rPr>
          <w:rFonts w:ascii="宋体" w:hAnsi="宋体"/>
          <w:sz w:val="24"/>
        </w:rPr>
        <w:t>核心城市住房供应结构待完善</w:t>
      </w:r>
    </w:p>
    <w:p w14:paraId="47DA2072" w14:textId="360562A4"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w:t>
      </w:r>
      <w:r w:rsidRPr="00E604E1">
        <w:rPr>
          <w:rFonts w:ascii="宋体" w:hAnsi="宋体"/>
          <w:sz w:val="24"/>
        </w:rPr>
        <w:t>粤港澳大湾区核心城市的住房问题主要是外来流动人口与年轻人口的</w:t>
      </w:r>
      <w:r w:rsidRPr="00E604E1">
        <w:rPr>
          <w:rFonts w:ascii="宋体" w:hAnsi="宋体"/>
          <w:sz w:val="24"/>
        </w:rPr>
        <w:lastRenderedPageBreak/>
        <w:t>住房困难，主要表现在住房的不可支付、居住品质差两方面。</w:t>
      </w:r>
    </w:p>
    <w:p w14:paraId="1155D495" w14:textId="5D7FF761"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1</w:t>
      </w:r>
      <w:r w:rsidRPr="00E604E1">
        <w:rPr>
          <w:rFonts w:ascii="宋体" w:hAnsi="宋体"/>
          <w:sz w:val="24"/>
        </w:rPr>
        <w:t>1</w:t>
      </w:r>
      <w:r w:rsidRPr="00E604E1">
        <w:rPr>
          <w:rFonts w:ascii="宋体" w:hAnsi="宋体" w:hint="eastAsia"/>
          <w:sz w:val="24"/>
        </w:rPr>
        <w:t>、</w:t>
      </w:r>
      <w:r w:rsidR="00E3763D">
        <w:rPr>
          <w:rFonts w:ascii="宋体" w:hAnsi="宋体" w:hint="eastAsia"/>
          <w:sz w:val="24"/>
        </w:rPr>
        <w:t>粤港澳</w:t>
      </w:r>
      <w:r w:rsidRPr="00E604E1">
        <w:rPr>
          <w:rFonts w:ascii="宋体" w:hAnsi="宋体"/>
          <w:sz w:val="24"/>
        </w:rPr>
        <w:t>大湾区房地产业未来发展趋势</w:t>
      </w:r>
    </w:p>
    <w:p w14:paraId="24C90397" w14:textId="65A7F7CB" w:rsidR="00E604E1" w:rsidRPr="00E604E1" w:rsidRDefault="00E604E1" w:rsidP="00E604E1">
      <w:pPr>
        <w:adjustRightInd w:val="0"/>
        <w:snapToGrid w:val="0"/>
        <w:spacing w:line="360" w:lineRule="auto"/>
        <w:ind w:firstLineChars="200" w:firstLine="480"/>
        <w:rPr>
          <w:rFonts w:ascii="宋体" w:hAnsi="宋体"/>
          <w:sz w:val="24"/>
        </w:rPr>
      </w:pPr>
      <w:r w:rsidRPr="00E604E1">
        <w:rPr>
          <w:rFonts w:ascii="宋体" w:hAnsi="宋体" w:hint="eastAsia"/>
          <w:sz w:val="24"/>
        </w:rPr>
        <w:t>——</w:t>
      </w:r>
      <w:r w:rsidRPr="00E604E1">
        <w:rPr>
          <w:rFonts w:ascii="宋体" w:hAnsi="宋体"/>
          <w:sz w:val="24"/>
        </w:rPr>
        <w:t>政策趋向稳健，市场走向平稳</w:t>
      </w:r>
    </w:p>
    <w:p w14:paraId="548573C6" w14:textId="3E953DA6" w:rsidR="005C4743" w:rsidRPr="00AA65AF" w:rsidRDefault="002B6256">
      <w:pPr>
        <w:adjustRightInd w:val="0"/>
        <w:snapToGrid w:val="0"/>
        <w:spacing w:line="360" w:lineRule="auto"/>
        <w:ind w:firstLineChars="200" w:firstLine="480"/>
        <w:rPr>
          <w:rFonts w:ascii="宋体" w:hAnsi="宋体"/>
          <w:sz w:val="24"/>
        </w:rPr>
      </w:pPr>
      <w:r>
        <w:rPr>
          <w:rFonts w:ascii="宋体" w:hAnsi="宋体"/>
          <w:sz w:val="24"/>
        </w:rPr>
        <w:t>12</w:t>
      </w:r>
      <w:r w:rsidR="00B626DC" w:rsidRPr="00AA65AF">
        <w:rPr>
          <w:rFonts w:ascii="宋体" w:hAnsi="宋体" w:hint="eastAsia"/>
          <w:sz w:val="24"/>
        </w:rPr>
        <w:t>、</w:t>
      </w:r>
      <w:r w:rsidR="005C4743" w:rsidRPr="00AA65AF">
        <w:rPr>
          <w:rFonts w:ascii="宋体" w:hAnsi="宋体" w:hint="eastAsia"/>
          <w:sz w:val="24"/>
        </w:rPr>
        <w:t>粤港澳大湾区</w:t>
      </w:r>
      <w:r w:rsidR="00E3763D">
        <w:rPr>
          <w:rFonts w:ascii="宋体" w:hAnsi="宋体" w:hint="eastAsia"/>
          <w:sz w:val="24"/>
        </w:rPr>
        <w:t>都市圈建设</w:t>
      </w:r>
      <w:r w:rsidR="005C4743" w:rsidRPr="00AA65AF">
        <w:rPr>
          <w:rFonts w:ascii="宋体" w:hAnsi="宋体" w:hint="eastAsia"/>
          <w:sz w:val="24"/>
        </w:rPr>
        <w:t>给建筑行业</w:t>
      </w:r>
      <w:r w:rsidR="00E3763D">
        <w:rPr>
          <w:rFonts w:ascii="宋体" w:hAnsi="宋体" w:hint="eastAsia"/>
          <w:sz w:val="24"/>
        </w:rPr>
        <w:t>带来</w:t>
      </w:r>
      <w:r w:rsidR="005C4743" w:rsidRPr="00AA65AF">
        <w:rPr>
          <w:rFonts w:ascii="宋体" w:hAnsi="宋体" w:hint="eastAsia"/>
          <w:sz w:val="24"/>
        </w:rPr>
        <w:t>的机会与挑战</w:t>
      </w:r>
    </w:p>
    <w:p w14:paraId="543794CF" w14:textId="24309723" w:rsidR="001F1BDE" w:rsidRPr="00AA65AF" w:rsidRDefault="005C4743">
      <w:pPr>
        <w:adjustRightInd w:val="0"/>
        <w:snapToGrid w:val="0"/>
        <w:spacing w:line="360" w:lineRule="auto"/>
        <w:ind w:firstLineChars="200" w:firstLine="480"/>
        <w:rPr>
          <w:rFonts w:ascii="宋体" w:hAnsi="宋体"/>
          <w:sz w:val="24"/>
        </w:rPr>
      </w:pPr>
      <w:r w:rsidRPr="00AA65AF">
        <w:rPr>
          <w:rFonts w:ascii="宋体" w:hAnsi="宋体" w:hint="eastAsia"/>
          <w:sz w:val="24"/>
        </w:rPr>
        <w:t>——随着粤港澳大湾区的推进，</w:t>
      </w:r>
      <w:r w:rsidR="00B626DC" w:rsidRPr="00AA65AF">
        <w:rPr>
          <w:rFonts w:ascii="宋体" w:hAnsi="宋体" w:hint="eastAsia"/>
          <w:sz w:val="24"/>
        </w:rPr>
        <w:t>人流、物流、资金流、创新流</w:t>
      </w:r>
      <w:r w:rsidRPr="00AA65AF">
        <w:rPr>
          <w:rFonts w:ascii="宋体" w:hAnsi="宋体" w:hint="eastAsia"/>
          <w:sz w:val="24"/>
        </w:rPr>
        <w:t>不断</w:t>
      </w:r>
      <w:r w:rsidR="00B626DC" w:rsidRPr="00AA65AF">
        <w:rPr>
          <w:rFonts w:ascii="宋体" w:hAnsi="宋体" w:hint="eastAsia"/>
          <w:sz w:val="24"/>
        </w:rPr>
        <w:t>汇聚，人产城大融合，区域经济前景广阔，</w:t>
      </w:r>
      <w:r w:rsidR="00B34683" w:rsidRPr="00AA65AF">
        <w:rPr>
          <w:rFonts w:ascii="宋体" w:hAnsi="宋体" w:hint="eastAsia"/>
          <w:sz w:val="24"/>
        </w:rPr>
        <w:t>基建、住房需求大大增加</w:t>
      </w:r>
    </w:p>
    <w:p w14:paraId="3F4E8956" w14:textId="786B0424" w:rsidR="00560024" w:rsidRDefault="00560024" w:rsidP="00560024">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粤港澳大湾区</w:t>
      </w:r>
      <w:r>
        <w:rPr>
          <w:rFonts w:ascii="宋体" w:hAnsi="宋体" w:hint="eastAsia"/>
          <w:sz w:val="24"/>
        </w:rPr>
        <w:t>发展必然带来人口集聚、城镇化发展、基础设施建设加速</w:t>
      </w:r>
    </w:p>
    <w:p w14:paraId="6293B09C" w14:textId="0ECA3C64" w:rsidR="00560024" w:rsidRDefault="00560024" w:rsidP="00560024">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交通等基础设施一体化是粤港澳大湾区发展的应有之义</w:t>
      </w:r>
    </w:p>
    <w:p w14:paraId="7A8E5A55" w14:textId="4D6E5C9A" w:rsidR="00B626DC" w:rsidRPr="00AA65AF" w:rsidRDefault="005C4743">
      <w:pPr>
        <w:adjustRightInd w:val="0"/>
        <w:snapToGrid w:val="0"/>
        <w:spacing w:line="360" w:lineRule="auto"/>
        <w:ind w:firstLineChars="200" w:firstLine="480"/>
        <w:rPr>
          <w:rFonts w:ascii="宋体" w:hAnsi="宋体"/>
          <w:sz w:val="24"/>
        </w:rPr>
      </w:pPr>
      <w:r w:rsidRPr="00AA65AF">
        <w:rPr>
          <w:rFonts w:ascii="宋体" w:hAnsi="宋体" w:hint="eastAsia"/>
          <w:sz w:val="24"/>
        </w:rPr>
        <w:t>——</w:t>
      </w:r>
      <w:r w:rsidRPr="00AA65AF">
        <w:rPr>
          <w:rFonts w:ascii="宋体" w:hAnsi="宋体" w:hint="eastAsia"/>
          <w:sz w:val="24"/>
        </w:rPr>
        <w:t>海、陆、空全面发力构建国际大通道，完善基础设施网络支撑</w:t>
      </w:r>
    </w:p>
    <w:p w14:paraId="1DE369BF" w14:textId="585C094A" w:rsidR="005C4743" w:rsidRPr="00AA65AF" w:rsidRDefault="005C4743">
      <w:pPr>
        <w:adjustRightInd w:val="0"/>
        <w:snapToGrid w:val="0"/>
        <w:spacing w:line="360" w:lineRule="auto"/>
        <w:ind w:firstLineChars="200" w:firstLine="480"/>
        <w:rPr>
          <w:rFonts w:ascii="宋体" w:hAnsi="宋体" w:hint="eastAsia"/>
          <w:sz w:val="24"/>
        </w:rPr>
      </w:pPr>
      <w:r w:rsidRPr="00AA65AF">
        <w:rPr>
          <w:rFonts w:ascii="宋体" w:hAnsi="宋体" w:hint="eastAsia"/>
          <w:sz w:val="24"/>
        </w:rPr>
        <w:t>——</w:t>
      </w:r>
      <w:r w:rsidR="00210DB4" w:rsidRPr="00AA65AF">
        <w:rPr>
          <w:rFonts w:ascii="宋体" w:hAnsi="宋体" w:hint="eastAsia"/>
          <w:sz w:val="24"/>
        </w:rPr>
        <w:t>建筑企业竞相跟进粤港澳大湾区，市场</w:t>
      </w:r>
      <w:r w:rsidR="00210DB4" w:rsidRPr="00AA65AF">
        <w:rPr>
          <w:rFonts w:ascii="宋体" w:hAnsi="宋体" w:hint="eastAsia"/>
          <w:sz w:val="24"/>
        </w:rPr>
        <w:t>竞争激烈</w:t>
      </w:r>
    </w:p>
    <w:p w14:paraId="5E8A36D8" w14:textId="52842AB3" w:rsidR="00560024" w:rsidRDefault="00560024" w:rsidP="00560024">
      <w:pPr>
        <w:adjustRightInd w:val="0"/>
        <w:snapToGrid w:val="0"/>
        <w:spacing w:line="360" w:lineRule="auto"/>
        <w:ind w:firstLineChars="200" w:firstLine="480"/>
        <w:rPr>
          <w:rFonts w:ascii="宋体" w:hAnsi="宋体"/>
          <w:sz w:val="24"/>
        </w:rPr>
      </w:pPr>
      <w:r>
        <w:rPr>
          <w:rFonts w:ascii="宋体" w:hAnsi="宋体" w:hint="eastAsia"/>
          <w:sz w:val="24"/>
        </w:rPr>
        <w:t>——粤港澳大湾区发展必然给建筑企业和房地产企业在技术水平、服务水平等方面带来更高的要求</w:t>
      </w:r>
    </w:p>
    <w:p w14:paraId="618582D2" w14:textId="77777777" w:rsidR="00560024" w:rsidRPr="00B626DC" w:rsidRDefault="00560024">
      <w:pPr>
        <w:adjustRightInd w:val="0"/>
        <w:snapToGrid w:val="0"/>
        <w:spacing w:line="360" w:lineRule="auto"/>
        <w:ind w:firstLineChars="200" w:firstLine="480"/>
        <w:rPr>
          <w:rFonts w:ascii="宋体" w:hAnsi="宋体" w:hint="eastAsia"/>
          <w:color w:val="FF0000"/>
          <w:sz w:val="24"/>
        </w:rPr>
      </w:pPr>
    </w:p>
    <w:p w14:paraId="0213379D" w14:textId="0DD5C3F0" w:rsidR="00BE10CD" w:rsidRPr="00C832ED" w:rsidRDefault="00C832ED" w:rsidP="00C832ED">
      <w:pPr>
        <w:adjustRightInd w:val="0"/>
        <w:snapToGrid w:val="0"/>
        <w:spacing w:line="360" w:lineRule="auto"/>
        <w:ind w:firstLineChars="200" w:firstLine="482"/>
        <w:rPr>
          <w:rFonts w:ascii="宋体" w:hAnsi="宋体"/>
          <w:b/>
          <w:bCs/>
          <w:color w:val="0000FF"/>
          <w:sz w:val="24"/>
        </w:rPr>
      </w:pPr>
      <w:r w:rsidRPr="00C832ED">
        <w:rPr>
          <w:rFonts w:ascii="宋体" w:hAnsi="宋体" w:hint="eastAsia"/>
          <w:b/>
          <w:bCs/>
          <w:color w:val="0000FF"/>
          <w:sz w:val="24"/>
        </w:rPr>
        <w:t>四</w:t>
      </w:r>
      <w:r w:rsidR="007D255B" w:rsidRPr="00C832ED">
        <w:rPr>
          <w:rFonts w:ascii="宋体" w:hAnsi="宋体" w:hint="eastAsia"/>
          <w:b/>
          <w:bCs/>
          <w:color w:val="0000FF"/>
          <w:sz w:val="24"/>
        </w:rPr>
        <w:t>、</w:t>
      </w:r>
      <w:r w:rsidR="001654B4">
        <w:rPr>
          <w:rFonts w:ascii="宋体" w:hAnsi="宋体" w:hint="eastAsia"/>
          <w:b/>
          <w:bCs/>
          <w:color w:val="0000FF"/>
          <w:sz w:val="24"/>
        </w:rPr>
        <w:t>陕西“十四五”规划解读</w:t>
      </w:r>
      <w:r w:rsidR="00695824" w:rsidRPr="00C832ED">
        <w:rPr>
          <w:rFonts w:ascii="宋体" w:hAnsi="宋体" w:hint="eastAsia"/>
          <w:b/>
          <w:bCs/>
          <w:color w:val="0000FF"/>
          <w:sz w:val="24"/>
        </w:rPr>
        <w:t>西安都市圈</w:t>
      </w:r>
      <w:r w:rsidR="00BE10CD" w:rsidRPr="00C832ED">
        <w:rPr>
          <w:rFonts w:ascii="宋体" w:hAnsi="宋体" w:hint="eastAsia"/>
          <w:b/>
          <w:bCs/>
          <w:color w:val="0000FF"/>
          <w:sz w:val="24"/>
        </w:rPr>
        <w:t>未来发展给陕建五局带来的机遇与挑战</w:t>
      </w:r>
    </w:p>
    <w:p w14:paraId="5273853D" w14:textId="268FC641" w:rsidR="001654B4" w:rsidRPr="00FC427E"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1、</w:t>
      </w:r>
      <w:r w:rsidRPr="00FC427E">
        <w:rPr>
          <w:rFonts w:ascii="宋体" w:hAnsi="宋体"/>
          <w:sz w:val="24"/>
        </w:rPr>
        <w:t>陕西“十四五”发展目标</w:t>
      </w:r>
    </w:p>
    <w:p w14:paraId="60D25844" w14:textId="1AA7DF2D" w:rsidR="001654B4" w:rsidRPr="001654B4"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1654B4">
        <w:rPr>
          <w:rFonts w:ascii="宋体" w:hAnsi="宋体"/>
          <w:sz w:val="24"/>
        </w:rPr>
        <w:t>到2025年</w:t>
      </w:r>
      <w:r w:rsidRPr="00FC427E">
        <w:rPr>
          <w:rFonts w:ascii="宋体" w:hAnsi="宋体" w:hint="eastAsia"/>
          <w:sz w:val="24"/>
        </w:rPr>
        <w:t>，陕西省</w:t>
      </w:r>
      <w:r w:rsidRPr="001654B4">
        <w:rPr>
          <w:rFonts w:ascii="宋体" w:hAnsi="宋体"/>
          <w:sz w:val="24"/>
        </w:rPr>
        <w:t>地区生产总值达到3.6万亿元</w:t>
      </w:r>
      <w:r w:rsidRPr="00FC427E">
        <w:rPr>
          <w:rFonts w:ascii="宋体" w:hAnsi="宋体" w:hint="eastAsia"/>
          <w:sz w:val="24"/>
        </w:rPr>
        <w:t>，</w:t>
      </w:r>
      <w:r w:rsidRPr="001654B4">
        <w:rPr>
          <w:rFonts w:ascii="宋体" w:hAnsi="宋体"/>
          <w:sz w:val="24"/>
        </w:rPr>
        <w:t>人均生产总值达到9万元左右</w:t>
      </w:r>
    </w:p>
    <w:p w14:paraId="1ED299F7" w14:textId="5776CEE3" w:rsidR="001654B4" w:rsidRPr="001654B4"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1654B4">
        <w:rPr>
          <w:rFonts w:ascii="宋体" w:hAnsi="宋体"/>
          <w:sz w:val="24"/>
        </w:rPr>
        <w:t>产业组团</w:t>
      </w:r>
      <w:r w:rsidRPr="00FC427E">
        <w:rPr>
          <w:rFonts w:ascii="宋体" w:hAnsi="宋体" w:hint="eastAsia"/>
          <w:sz w:val="24"/>
        </w:rPr>
        <w:t>：</w:t>
      </w:r>
      <w:r w:rsidRPr="001654B4">
        <w:rPr>
          <w:rFonts w:ascii="宋体" w:hAnsi="宋体"/>
          <w:sz w:val="24"/>
        </w:rPr>
        <w:t>打造9个战略性新兴产业功能组团</w:t>
      </w:r>
      <w:r w:rsidRPr="00FC427E">
        <w:rPr>
          <w:rFonts w:ascii="宋体" w:hAnsi="宋体" w:hint="eastAsia"/>
          <w:sz w:val="24"/>
        </w:rPr>
        <w:t>，</w:t>
      </w:r>
      <w:r w:rsidRPr="001654B4">
        <w:rPr>
          <w:rFonts w:ascii="宋体" w:hAnsi="宋体"/>
          <w:sz w:val="24"/>
        </w:rPr>
        <w:t>构建一核多极现代服务业发展格局</w:t>
      </w:r>
    </w:p>
    <w:p w14:paraId="2AD10230" w14:textId="77777777" w:rsidR="001654B4" w:rsidRPr="00FC427E"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2、</w:t>
      </w:r>
      <w:r w:rsidRPr="00FC427E">
        <w:rPr>
          <w:rFonts w:ascii="宋体" w:hAnsi="宋体"/>
          <w:sz w:val="24"/>
        </w:rPr>
        <w:t>陕西“十四五”</w:t>
      </w:r>
      <w:r w:rsidRPr="001654B4">
        <w:rPr>
          <w:rFonts w:ascii="宋体" w:hAnsi="宋体"/>
          <w:sz w:val="24"/>
        </w:rPr>
        <w:t>城市规划</w:t>
      </w:r>
    </w:p>
    <w:p w14:paraId="59451515" w14:textId="2AC8BAE3" w:rsidR="001654B4" w:rsidRPr="001654B4"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1654B4">
        <w:rPr>
          <w:rFonts w:ascii="宋体" w:hAnsi="宋体"/>
          <w:sz w:val="24"/>
        </w:rPr>
        <w:t>“提升西安国家中心城市发展能级”</w:t>
      </w:r>
      <w:r w:rsidRPr="00FC427E">
        <w:rPr>
          <w:rFonts w:ascii="宋体" w:hAnsi="宋体" w:hint="eastAsia"/>
          <w:sz w:val="24"/>
        </w:rPr>
        <w:t>，</w:t>
      </w:r>
      <w:r w:rsidRPr="001654B4">
        <w:rPr>
          <w:rFonts w:ascii="宋体" w:hAnsi="宋体"/>
          <w:sz w:val="24"/>
        </w:rPr>
        <w:t>10市1区“一市一策”引导差异化发展</w:t>
      </w:r>
    </w:p>
    <w:p w14:paraId="7D664088" w14:textId="4C6EB63B" w:rsidR="001654B4" w:rsidRPr="001654B4"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1654B4">
        <w:rPr>
          <w:rFonts w:ascii="宋体" w:hAnsi="宋体"/>
          <w:sz w:val="24"/>
        </w:rPr>
        <w:t>支持西安建立关中平原城市群市长联席会议制度</w:t>
      </w:r>
      <w:r w:rsidRPr="00FC427E">
        <w:rPr>
          <w:rFonts w:ascii="宋体" w:hAnsi="宋体" w:hint="eastAsia"/>
          <w:sz w:val="24"/>
        </w:rPr>
        <w:t>，</w:t>
      </w:r>
      <w:r w:rsidRPr="001654B4">
        <w:rPr>
          <w:rFonts w:ascii="宋体" w:hAnsi="宋体"/>
          <w:sz w:val="24"/>
        </w:rPr>
        <w:t>培育四条城镇带</w:t>
      </w:r>
    </w:p>
    <w:p w14:paraId="696A2D7E" w14:textId="503D619A" w:rsidR="001654B4" w:rsidRPr="001654B4" w:rsidRDefault="001654B4"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1654B4">
        <w:rPr>
          <w:rFonts w:ascii="宋体" w:hAnsi="宋体"/>
          <w:sz w:val="24"/>
        </w:rPr>
        <w:t>加快培育建设现代化西安都市圈</w:t>
      </w:r>
      <w:r w:rsidRPr="00FC427E">
        <w:rPr>
          <w:rFonts w:ascii="宋体" w:hAnsi="宋体" w:hint="eastAsia"/>
          <w:sz w:val="24"/>
        </w:rPr>
        <w:t>，</w:t>
      </w:r>
      <w:r w:rsidRPr="001654B4">
        <w:rPr>
          <w:rFonts w:ascii="宋体" w:hAnsi="宋体"/>
          <w:sz w:val="24"/>
        </w:rPr>
        <w:t>构建“一核一轴、两翼三区、多组团”发展格局</w:t>
      </w:r>
    </w:p>
    <w:p w14:paraId="176FA88D" w14:textId="3EBBE818" w:rsidR="00B64276" w:rsidRPr="00FC427E" w:rsidRDefault="00B64276"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3、</w:t>
      </w:r>
      <w:r w:rsidR="004A3F39" w:rsidRPr="00FC427E">
        <w:rPr>
          <w:rFonts w:ascii="宋体" w:hAnsi="宋体"/>
          <w:sz w:val="24"/>
        </w:rPr>
        <w:t>陕西“十四五”</w:t>
      </w:r>
      <w:r w:rsidRPr="00B64276">
        <w:rPr>
          <w:rFonts w:ascii="宋体" w:hAnsi="宋体"/>
          <w:sz w:val="24"/>
        </w:rPr>
        <w:t>交通建设</w:t>
      </w:r>
      <w:r w:rsidR="004A3F39" w:rsidRPr="00FC427E">
        <w:rPr>
          <w:rFonts w:ascii="宋体" w:hAnsi="宋体" w:hint="eastAsia"/>
          <w:sz w:val="24"/>
        </w:rPr>
        <w:t>规划</w:t>
      </w:r>
    </w:p>
    <w:p w14:paraId="633C4A91" w14:textId="413B3A17" w:rsidR="00B64276" w:rsidRPr="00B64276" w:rsidRDefault="00B64276"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B64276">
        <w:rPr>
          <w:rFonts w:ascii="宋体" w:hAnsi="宋体"/>
          <w:sz w:val="24"/>
        </w:rPr>
        <w:t>加快形成以西安为中心的2条高速公路环线</w:t>
      </w:r>
      <w:r w:rsidRPr="00FC427E">
        <w:rPr>
          <w:rFonts w:ascii="宋体" w:hAnsi="宋体" w:hint="eastAsia"/>
          <w:sz w:val="24"/>
        </w:rPr>
        <w:t>，</w:t>
      </w:r>
      <w:r w:rsidRPr="00B64276">
        <w:rPr>
          <w:rFonts w:ascii="宋体" w:hAnsi="宋体"/>
          <w:sz w:val="24"/>
        </w:rPr>
        <w:t>启动西安大环高速公路方案研究</w:t>
      </w:r>
    </w:p>
    <w:p w14:paraId="475B179F" w14:textId="4DB5C581" w:rsidR="00B64276" w:rsidRPr="00B64276" w:rsidRDefault="00B64276"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B64276">
        <w:rPr>
          <w:rFonts w:ascii="宋体" w:hAnsi="宋体"/>
          <w:sz w:val="24"/>
        </w:rPr>
        <w:t>建成西安咸阳国际机场三期扩建工程</w:t>
      </w:r>
      <w:r w:rsidRPr="00FC427E">
        <w:rPr>
          <w:rFonts w:ascii="宋体" w:hAnsi="宋体" w:hint="eastAsia"/>
          <w:sz w:val="24"/>
        </w:rPr>
        <w:t>，</w:t>
      </w:r>
      <w:r w:rsidRPr="00B64276">
        <w:rPr>
          <w:rFonts w:ascii="宋体" w:hAnsi="宋体"/>
          <w:sz w:val="24"/>
        </w:rPr>
        <w:t>适度推进城市轨道交通向中心城</w:t>
      </w:r>
      <w:r w:rsidRPr="00B64276">
        <w:rPr>
          <w:rFonts w:ascii="宋体" w:hAnsi="宋体"/>
          <w:sz w:val="24"/>
        </w:rPr>
        <w:lastRenderedPageBreak/>
        <w:t>区外围延伸</w:t>
      </w:r>
    </w:p>
    <w:p w14:paraId="214C9C2B" w14:textId="654C6C44" w:rsidR="001400FF" w:rsidRPr="001400FF" w:rsidRDefault="001400FF" w:rsidP="00154A49">
      <w:pPr>
        <w:adjustRightInd w:val="0"/>
        <w:snapToGrid w:val="0"/>
        <w:spacing w:line="360" w:lineRule="auto"/>
        <w:ind w:firstLineChars="200" w:firstLine="480"/>
        <w:rPr>
          <w:rFonts w:ascii="宋体" w:hAnsi="宋体"/>
          <w:sz w:val="24"/>
        </w:rPr>
      </w:pPr>
      <w:r w:rsidRPr="00154A49">
        <w:rPr>
          <w:rFonts w:ascii="宋体" w:hAnsi="宋体" w:hint="eastAsia"/>
          <w:sz w:val="24"/>
        </w:rPr>
        <w:t>4、</w:t>
      </w:r>
      <w:r w:rsidRPr="001400FF">
        <w:rPr>
          <w:rFonts w:ascii="宋体" w:hAnsi="宋体" w:hint="eastAsia"/>
          <w:sz w:val="24"/>
        </w:rPr>
        <w:t>陕西省“十四五”规划《纲要》在城市建设内容中明确，以城市群和都市圈建设为重点，提升新型城镇化质量和水平，培育建设西安都市圈。</w:t>
      </w:r>
    </w:p>
    <w:p w14:paraId="1D4822D8" w14:textId="7F7EC5FD" w:rsidR="001400FF" w:rsidRDefault="001400FF" w:rsidP="00154A49">
      <w:pPr>
        <w:adjustRightInd w:val="0"/>
        <w:snapToGrid w:val="0"/>
        <w:spacing w:line="360" w:lineRule="auto"/>
        <w:ind w:firstLineChars="200" w:firstLine="480"/>
        <w:rPr>
          <w:rFonts w:ascii="宋体" w:hAnsi="宋体"/>
          <w:sz w:val="24"/>
        </w:rPr>
      </w:pPr>
      <w:r w:rsidRPr="00154A49">
        <w:rPr>
          <w:rFonts w:ascii="宋体" w:hAnsi="宋体" w:hint="eastAsia"/>
          <w:sz w:val="24"/>
        </w:rPr>
        <w:t>——</w:t>
      </w:r>
      <w:r w:rsidRPr="001400FF">
        <w:rPr>
          <w:rFonts w:ascii="宋体" w:hAnsi="宋体" w:hint="eastAsia"/>
          <w:sz w:val="24"/>
        </w:rPr>
        <w:t>西安都市圈的培育建设，将围绕构建“一核一轴、两翼三区、多组团”发展格局进行</w:t>
      </w:r>
    </w:p>
    <w:p w14:paraId="75F04CB0" w14:textId="56324401" w:rsidR="001654B4" w:rsidRPr="00FC427E" w:rsidRDefault="00154A49" w:rsidP="00FC427E">
      <w:pPr>
        <w:adjustRightInd w:val="0"/>
        <w:snapToGrid w:val="0"/>
        <w:spacing w:line="360" w:lineRule="auto"/>
        <w:ind w:firstLineChars="200" w:firstLine="480"/>
        <w:rPr>
          <w:rFonts w:ascii="宋体" w:hAnsi="宋体"/>
          <w:sz w:val="24"/>
        </w:rPr>
      </w:pPr>
      <w:r>
        <w:rPr>
          <w:rFonts w:ascii="宋体" w:hAnsi="宋体"/>
          <w:sz w:val="24"/>
        </w:rPr>
        <w:t>5</w:t>
      </w:r>
      <w:r w:rsidR="002106B2" w:rsidRPr="00FC427E">
        <w:rPr>
          <w:rFonts w:ascii="宋体" w:hAnsi="宋体" w:hint="eastAsia"/>
          <w:sz w:val="24"/>
        </w:rPr>
        <w:t>、西安都市圈建设为陕西腾飞插上翅膀</w:t>
      </w:r>
    </w:p>
    <w:p w14:paraId="7EFC9BC1" w14:textId="21CF6E9F" w:rsidR="002106B2" w:rsidRPr="00AB64A7"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AB64A7">
        <w:rPr>
          <w:rFonts w:ascii="宋体" w:hAnsi="宋体" w:hint="eastAsia"/>
          <w:sz w:val="24"/>
        </w:rPr>
        <w:t>按照世界城市化发展的“S型”规律曲线，城镇化率显示我国的城市化进程仍处于中期，未来还存在继续提高的空间。</w:t>
      </w:r>
    </w:p>
    <w:p w14:paraId="3BF043C8" w14:textId="425416E1" w:rsidR="002106B2" w:rsidRPr="00AB64A7"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Pr="00AB64A7">
        <w:rPr>
          <w:rFonts w:ascii="宋体" w:hAnsi="宋体" w:hint="eastAsia"/>
          <w:sz w:val="24"/>
        </w:rPr>
        <w:t>城市群和都市圈建设将带来更多的人口流入城市，从而带来更多的投资和消费，提供经济增长持续潜在动力。</w:t>
      </w:r>
    </w:p>
    <w:p w14:paraId="4EF16386" w14:textId="5F2D8BB0" w:rsidR="002106B2" w:rsidRPr="00FC427E" w:rsidRDefault="002106B2" w:rsidP="002106B2">
      <w:pPr>
        <w:adjustRightInd w:val="0"/>
        <w:snapToGrid w:val="0"/>
        <w:spacing w:line="360" w:lineRule="auto"/>
        <w:ind w:firstLineChars="200" w:firstLine="480"/>
        <w:rPr>
          <w:rFonts w:ascii="宋体" w:hAnsi="宋体" w:hint="eastAsia"/>
          <w:sz w:val="24"/>
        </w:rPr>
      </w:pPr>
      <w:r w:rsidRPr="00FC427E">
        <w:rPr>
          <w:rFonts w:ascii="宋体" w:hAnsi="宋体" w:hint="eastAsia"/>
          <w:sz w:val="24"/>
        </w:rPr>
        <w:t>——</w:t>
      </w:r>
      <w:r w:rsidRPr="00FC427E">
        <w:rPr>
          <w:rFonts w:ascii="宋体" w:hAnsi="宋体" w:hint="eastAsia"/>
          <w:sz w:val="24"/>
        </w:rPr>
        <w:t>西安都市圈处于我国“两横一纵”城市化布局</w:t>
      </w:r>
    </w:p>
    <w:p w14:paraId="79005A84" w14:textId="77777777" w:rsidR="00154A49" w:rsidRPr="00154A49" w:rsidRDefault="00154A49" w:rsidP="00154A49">
      <w:pPr>
        <w:adjustRightInd w:val="0"/>
        <w:snapToGrid w:val="0"/>
        <w:spacing w:line="360" w:lineRule="auto"/>
        <w:ind w:firstLineChars="200" w:firstLine="480"/>
        <w:rPr>
          <w:rFonts w:ascii="宋体" w:hAnsi="宋体"/>
          <w:sz w:val="24"/>
        </w:rPr>
      </w:pPr>
      <w:r w:rsidRPr="00154A49">
        <w:rPr>
          <w:rFonts w:ascii="宋体" w:hAnsi="宋体" w:hint="eastAsia"/>
          <w:sz w:val="24"/>
        </w:rPr>
        <w:t>——现代化都市圈既有利于优化人口和经济的空间结构，又有利于激活有效投资和潜在消费需求，增强内生发展动力。</w:t>
      </w:r>
    </w:p>
    <w:p w14:paraId="1D9D79B5" w14:textId="77777777" w:rsidR="00154A49" w:rsidRPr="00154A49" w:rsidRDefault="00154A49" w:rsidP="00154A49">
      <w:pPr>
        <w:adjustRightInd w:val="0"/>
        <w:snapToGrid w:val="0"/>
        <w:spacing w:line="360" w:lineRule="auto"/>
        <w:ind w:firstLineChars="200" w:firstLine="480"/>
        <w:rPr>
          <w:rFonts w:ascii="宋体" w:hAnsi="宋体" w:hint="eastAsia"/>
          <w:sz w:val="24"/>
        </w:rPr>
      </w:pPr>
      <w:r w:rsidRPr="00154A49">
        <w:rPr>
          <w:rFonts w:ascii="宋体" w:hAnsi="宋体" w:hint="eastAsia"/>
          <w:sz w:val="24"/>
        </w:rPr>
        <w:t>——进入都市圈范围的区域，将享受更多的发展红利。</w:t>
      </w:r>
    </w:p>
    <w:p w14:paraId="0E6C2479" w14:textId="64254D4B" w:rsidR="001400FF" w:rsidRDefault="00154A49" w:rsidP="00AB64A7">
      <w:pPr>
        <w:adjustRightInd w:val="0"/>
        <w:snapToGrid w:val="0"/>
        <w:spacing w:line="360" w:lineRule="auto"/>
        <w:ind w:firstLineChars="200" w:firstLine="480"/>
        <w:rPr>
          <w:rFonts w:ascii="宋体" w:hAnsi="宋体" w:hint="eastAsia"/>
          <w:sz w:val="24"/>
        </w:rPr>
      </w:pPr>
      <w:r>
        <w:rPr>
          <w:rFonts w:ascii="宋体" w:hAnsi="宋体"/>
          <w:sz w:val="24"/>
        </w:rPr>
        <w:t>6</w:t>
      </w:r>
      <w:r w:rsidR="001400FF">
        <w:rPr>
          <w:rFonts w:ascii="宋体" w:hAnsi="宋体" w:hint="eastAsia"/>
          <w:sz w:val="24"/>
        </w:rPr>
        <w:t>、关中平原城市群充分发挥西安国家中心城市的带动作用</w:t>
      </w:r>
    </w:p>
    <w:p w14:paraId="10CF5D74" w14:textId="6B74D58B" w:rsidR="001400FF" w:rsidRPr="00154A49" w:rsidRDefault="001400FF" w:rsidP="00154A49">
      <w:pPr>
        <w:adjustRightInd w:val="0"/>
        <w:snapToGrid w:val="0"/>
        <w:spacing w:line="360" w:lineRule="auto"/>
        <w:ind w:firstLineChars="200" w:firstLine="480"/>
        <w:rPr>
          <w:rFonts w:ascii="宋体" w:hAnsi="宋体"/>
          <w:sz w:val="24"/>
        </w:rPr>
      </w:pPr>
      <w:r w:rsidRPr="00154A49">
        <w:rPr>
          <w:rFonts w:ascii="宋体" w:hAnsi="宋体" w:hint="eastAsia"/>
          <w:sz w:val="24"/>
        </w:rPr>
        <w:t>——</w:t>
      </w:r>
      <w:r w:rsidRPr="00154A49">
        <w:rPr>
          <w:rFonts w:ascii="宋体" w:hAnsi="宋体" w:hint="eastAsia"/>
          <w:sz w:val="24"/>
        </w:rPr>
        <w:t>2018年初，国家发改委批复同意《关中平原城市群发展规划》，明确关中城市群围绕“一圈一轴三带”发展格局。“一圈”就是指由西安、咸阳主城区及西咸新区为主组成的大西安都市圈。</w:t>
      </w:r>
    </w:p>
    <w:p w14:paraId="6C558A64" w14:textId="2FDD62CF" w:rsidR="00AB64A7" w:rsidRPr="00FC427E" w:rsidRDefault="00154A49" w:rsidP="00AB64A7">
      <w:pPr>
        <w:adjustRightInd w:val="0"/>
        <w:snapToGrid w:val="0"/>
        <w:spacing w:line="360" w:lineRule="auto"/>
        <w:ind w:firstLineChars="200" w:firstLine="480"/>
        <w:rPr>
          <w:rFonts w:ascii="宋体" w:hAnsi="宋体"/>
          <w:sz w:val="24"/>
        </w:rPr>
      </w:pPr>
      <w:r>
        <w:rPr>
          <w:rFonts w:ascii="宋体" w:hAnsi="宋体"/>
          <w:sz w:val="24"/>
        </w:rPr>
        <w:t>7</w:t>
      </w:r>
      <w:r w:rsidR="00AB64A7" w:rsidRPr="00FC427E">
        <w:rPr>
          <w:rFonts w:ascii="宋体" w:hAnsi="宋体" w:hint="eastAsia"/>
          <w:sz w:val="24"/>
        </w:rPr>
        <w:t>、</w:t>
      </w:r>
      <w:r w:rsidR="001400FF" w:rsidRPr="00FC427E">
        <w:rPr>
          <w:rFonts w:ascii="宋体" w:hAnsi="宋体" w:hint="eastAsia"/>
          <w:sz w:val="24"/>
        </w:rPr>
        <w:t>关中平原城市群/</w:t>
      </w:r>
      <w:r w:rsidR="002106B2" w:rsidRPr="00FC427E">
        <w:rPr>
          <w:rFonts w:ascii="宋体" w:hAnsi="宋体" w:hint="eastAsia"/>
          <w:sz w:val="24"/>
        </w:rPr>
        <w:t>西安都市圈发展</w:t>
      </w:r>
      <w:r w:rsidR="00AB64A7" w:rsidRPr="00FC427E">
        <w:rPr>
          <w:rFonts w:ascii="宋体" w:hAnsi="宋体" w:hint="eastAsia"/>
          <w:sz w:val="24"/>
        </w:rPr>
        <w:t>给建筑行业的机会与挑战</w:t>
      </w:r>
    </w:p>
    <w:p w14:paraId="47CD7D3D" w14:textId="47AFDAE2" w:rsidR="001400FF" w:rsidRDefault="001400FF" w:rsidP="00AB64A7">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中平原城市群</w:t>
      </w:r>
      <w:r>
        <w:rPr>
          <w:rFonts w:ascii="宋体" w:hAnsi="宋体" w:hint="eastAsia"/>
          <w:sz w:val="24"/>
        </w:rPr>
        <w:t>有利于陕西和西安聚集人口、资金、科技等要素</w:t>
      </w:r>
    </w:p>
    <w:p w14:paraId="28AB1B3C" w14:textId="27642433" w:rsidR="00AB64A7" w:rsidRPr="00FC427E" w:rsidRDefault="00AB64A7" w:rsidP="00AB64A7">
      <w:pPr>
        <w:adjustRightInd w:val="0"/>
        <w:snapToGrid w:val="0"/>
        <w:spacing w:line="360" w:lineRule="auto"/>
        <w:ind w:firstLineChars="200" w:firstLine="480"/>
        <w:rPr>
          <w:rFonts w:ascii="宋体" w:hAnsi="宋体"/>
          <w:sz w:val="24"/>
        </w:rPr>
      </w:pPr>
      <w:r w:rsidRPr="00FC427E">
        <w:rPr>
          <w:rFonts w:ascii="宋体" w:hAnsi="宋体" w:hint="eastAsia"/>
          <w:sz w:val="24"/>
        </w:rPr>
        <w:t>——随着</w:t>
      </w:r>
      <w:r w:rsidR="002106B2" w:rsidRPr="00FC427E">
        <w:rPr>
          <w:rFonts w:ascii="宋体" w:hAnsi="宋体" w:hint="eastAsia"/>
          <w:sz w:val="24"/>
        </w:rPr>
        <w:t>西安都市圈</w:t>
      </w:r>
      <w:r w:rsidRPr="00FC427E">
        <w:rPr>
          <w:rFonts w:ascii="宋体" w:hAnsi="宋体" w:hint="eastAsia"/>
          <w:sz w:val="24"/>
        </w:rPr>
        <w:t>的推进，人流、物流、资金流、创新流不断汇聚，人产城大融合，区域经济前景广阔，基建、住房需求大大增加</w:t>
      </w:r>
    </w:p>
    <w:p w14:paraId="47409ED8" w14:textId="780F63C1" w:rsidR="00AB64A7" w:rsidRDefault="00AB64A7" w:rsidP="00AB64A7">
      <w:pPr>
        <w:adjustRightInd w:val="0"/>
        <w:snapToGrid w:val="0"/>
        <w:spacing w:line="360" w:lineRule="auto"/>
        <w:ind w:firstLineChars="200" w:firstLine="480"/>
        <w:rPr>
          <w:rFonts w:ascii="宋体" w:hAnsi="宋体"/>
          <w:sz w:val="24"/>
        </w:rPr>
      </w:pPr>
      <w:r>
        <w:rPr>
          <w:rFonts w:ascii="宋体" w:hAnsi="宋体" w:hint="eastAsia"/>
          <w:sz w:val="24"/>
        </w:rPr>
        <w:t>——</w:t>
      </w:r>
      <w:r w:rsidR="002106B2" w:rsidRPr="00FC427E">
        <w:rPr>
          <w:rFonts w:ascii="宋体" w:hAnsi="宋体" w:hint="eastAsia"/>
          <w:sz w:val="24"/>
        </w:rPr>
        <w:t>西安都市圈</w:t>
      </w:r>
      <w:r>
        <w:rPr>
          <w:rFonts w:ascii="宋体" w:hAnsi="宋体" w:hint="eastAsia"/>
          <w:sz w:val="24"/>
        </w:rPr>
        <w:t>发展必然带来人口集聚、城镇化发展、基础设施建设加速</w:t>
      </w:r>
    </w:p>
    <w:p w14:paraId="151A9A57" w14:textId="004BD10E" w:rsidR="00AB64A7" w:rsidRDefault="00AB64A7" w:rsidP="00AB64A7">
      <w:pPr>
        <w:adjustRightInd w:val="0"/>
        <w:snapToGrid w:val="0"/>
        <w:spacing w:line="360" w:lineRule="auto"/>
        <w:ind w:firstLineChars="200" w:firstLine="480"/>
        <w:rPr>
          <w:rFonts w:ascii="宋体" w:hAnsi="宋体"/>
          <w:sz w:val="24"/>
        </w:rPr>
      </w:pPr>
      <w:r>
        <w:rPr>
          <w:rFonts w:ascii="宋体" w:hAnsi="宋体" w:hint="eastAsia"/>
          <w:sz w:val="24"/>
        </w:rPr>
        <w:t>——交通等基础设施一体化是</w:t>
      </w:r>
      <w:r w:rsidR="002106B2" w:rsidRPr="00FC427E">
        <w:rPr>
          <w:rFonts w:ascii="宋体" w:hAnsi="宋体" w:hint="eastAsia"/>
          <w:sz w:val="24"/>
        </w:rPr>
        <w:t>西安都市圈</w:t>
      </w:r>
      <w:r>
        <w:rPr>
          <w:rFonts w:ascii="宋体" w:hAnsi="宋体" w:hint="eastAsia"/>
          <w:sz w:val="24"/>
        </w:rPr>
        <w:t>发展的应有之义</w:t>
      </w:r>
    </w:p>
    <w:p w14:paraId="0009BAF5" w14:textId="1E926558" w:rsidR="00AB64A7" w:rsidRPr="00AB64A7" w:rsidRDefault="00154A49" w:rsidP="00FC427E">
      <w:pPr>
        <w:adjustRightInd w:val="0"/>
        <w:snapToGrid w:val="0"/>
        <w:spacing w:line="360" w:lineRule="auto"/>
        <w:ind w:firstLineChars="200" w:firstLine="480"/>
        <w:rPr>
          <w:rFonts w:ascii="宋体" w:hAnsi="宋体"/>
          <w:sz w:val="24"/>
        </w:rPr>
      </w:pPr>
      <w:r>
        <w:rPr>
          <w:rFonts w:ascii="宋体" w:hAnsi="宋体"/>
          <w:sz w:val="24"/>
        </w:rPr>
        <w:t>8</w:t>
      </w:r>
      <w:r w:rsidR="00AB64A7" w:rsidRPr="00AB64A7">
        <w:rPr>
          <w:rFonts w:ascii="宋体" w:hAnsi="宋体" w:hint="eastAsia"/>
          <w:sz w:val="24"/>
        </w:rPr>
        <w:t>、“十四五”时期</w:t>
      </w:r>
      <w:r w:rsidR="00801A60" w:rsidRPr="00FC427E">
        <w:rPr>
          <w:rFonts w:ascii="宋体" w:hAnsi="宋体" w:hint="eastAsia"/>
          <w:sz w:val="24"/>
        </w:rPr>
        <w:t>陕西</w:t>
      </w:r>
      <w:r w:rsidR="00AB64A7" w:rsidRPr="00AB64A7">
        <w:rPr>
          <w:rFonts w:ascii="宋体" w:hAnsi="宋体" w:hint="eastAsia"/>
          <w:sz w:val="24"/>
        </w:rPr>
        <w:t>房地产市场长期将平稳发展</w:t>
      </w:r>
    </w:p>
    <w:p w14:paraId="2BE755AC" w14:textId="0EB699FA" w:rsidR="00AB64A7" w:rsidRPr="00AB64A7"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00AB64A7" w:rsidRPr="00AB64A7">
        <w:rPr>
          <w:rFonts w:ascii="宋体" w:hAnsi="宋体" w:hint="eastAsia"/>
          <w:sz w:val="24"/>
        </w:rPr>
        <w:t>我国房地产市场将长期平稳发展</w:t>
      </w:r>
    </w:p>
    <w:p w14:paraId="64CE78EE" w14:textId="28388E7A" w:rsidR="00AB64A7" w:rsidRPr="00AB64A7"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——陕西</w:t>
      </w:r>
      <w:r w:rsidR="00AB64A7" w:rsidRPr="00AB64A7">
        <w:rPr>
          <w:rFonts w:ascii="宋体" w:hAnsi="宋体" w:hint="eastAsia"/>
          <w:sz w:val="24"/>
        </w:rPr>
        <w:t>房地产市场和全国一样，未来平稳。</w:t>
      </w:r>
    </w:p>
    <w:p w14:paraId="4E910A49" w14:textId="02F204DD" w:rsidR="00AB64A7" w:rsidRPr="00AB64A7"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00AB64A7" w:rsidRPr="00AB64A7">
        <w:rPr>
          <w:rFonts w:ascii="宋体" w:hAnsi="宋体" w:hint="eastAsia"/>
          <w:sz w:val="24"/>
        </w:rPr>
        <w:t>人口持续流入地区，和人口流出地区分化</w:t>
      </w:r>
    </w:p>
    <w:p w14:paraId="2D448383" w14:textId="40263822" w:rsidR="00AB64A7" w:rsidRPr="00AB64A7" w:rsidRDefault="00154A49" w:rsidP="00FC427E">
      <w:pPr>
        <w:adjustRightInd w:val="0"/>
        <w:snapToGrid w:val="0"/>
        <w:spacing w:line="360" w:lineRule="auto"/>
        <w:ind w:firstLineChars="200" w:firstLine="480"/>
        <w:rPr>
          <w:rFonts w:ascii="宋体" w:hAnsi="宋体"/>
          <w:sz w:val="24"/>
        </w:rPr>
      </w:pPr>
      <w:r>
        <w:rPr>
          <w:rFonts w:ascii="宋体" w:hAnsi="宋体"/>
          <w:sz w:val="24"/>
        </w:rPr>
        <w:t>9</w:t>
      </w:r>
      <w:r w:rsidR="006637D8">
        <w:rPr>
          <w:rFonts w:ascii="宋体" w:hAnsi="宋体" w:hint="eastAsia"/>
          <w:sz w:val="24"/>
        </w:rPr>
        <w:t>、</w:t>
      </w:r>
      <w:r w:rsidR="00AB64A7" w:rsidRPr="00AB64A7">
        <w:rPr>
          <w:rFonts w:ascii="宋体" w:hAnsi="宋体" w:hint="eastAsia"/>
          <w:sz w:val="24"/>
        </w:rPr>
        <w:t>长期看，</w:t>
      </w:r>
      <w:r w:rsidR="00801A60" w:rsidRPr="00FC427E">
        <w:rPr>
          <w:rFonts w:ascii="宋体" w:hAnsi="宋体" w:hint="eastAsia"/>
          <w:sz w:val="24"/>
        </w:rPr>
        <w:t>陕西</w:t>
      </w:r>
      <w:r w:rsidR="00AB64A7" w:rsidRPr="00AB64A7">
        <w:rPr>
          <w:rFonts w:ascii="宋体" w:hAnsi="宋体" w:hint="eastAsia"/>
          <w:sz w:val="24"/>
        </w:rPr>
        <w:t>省内房地产市场将呈现区域分化</w:t>
      </w:r>
    </w:p>
    <w:p w14:paraId="766DBED3" w14:textId="2B78D527" w:rsidR="00AB64A7" w:rsidRPr="00AB64A7" w:rsidRDefault="00154A49" w:rsidP="00FC427E">
      <w:pPr>
        <w:adjustRightInd w:val="0"/>
        <w:snapToGrid w:val="0"/>
        <w:spacing w:line="360" w:lineRule="auto"/>
        <w:ind w:firstLineChars="200" w:firstLine="480"/>
        <w:rPr>
          <w:rFonts w:ascii="宋体" w:hAnsi="宋体"/>
          <w:sz w:val="24"/>
        </w:rPr>
      </w:pPr>
      <w:r>
        <w:rPr>
          <w:rFonts w:ascii="宋体" w:hAnsi="宋体"/>
          <w:sz w:val="24"/>
        </w:rPr>
        <w:t>10</w:t>
      </w:r>
      <w:r w:rsidR="006637D8">
        <w:rPr>
          <w:rFonts w:ascii="宋体" w:hAnsi="宋体" w:hint="eastAsia"/>
          <w:sz w:val="24"/>
        </w:rPr>
        <w:t>、</w:t>
      </w:r>
      <w:r w:rsidR="00AB64A7" w:rsidRPr="00AB64A7">
        <w:rPr>
          <w:rFonts w:ascii="宋体" w:hAnsi="宋体" w:hint="eastAsia"/>
          <w:sz w:val="24"/>
        </w:rPr>
        <w:t>长期看，</w:t>
      </w:r>
      <w:r w:rsidR="00801A60" w:rsidRPr="00FC427E">
        <w:rPr>
          <w:rFonts w:ascii="宋体" w:hAnsi="宋体" w:hint="eastAsia"/>
          <w:sz w:val="24"/>
        </w:rPr>
        <w:t>陕西</w:t>
      </w:r>
      <w:r w:rsidR="00AB64A7" w:rsidRPr="00AB64A7">
        <w:rPr>
          <w:rFonts w:ascii="宋体" w:hAnsi="宋体" w:hint="eastAsia"/>
          <w:sz w:val="24"/>
        </w:rPr>
        <w:t>省内</w:t>
      </w:r>
      <w:r w:rsidR="00C32A80" w:rsidRPr="00AB64A7">
        <w:rPr>
          <w:rFonts w:ascii="宋体" w:hAnsi="宋体" w:hint="eastAsia"/>
          <w:sz w:val="24"/>
        </w:rPr>
        <w:t>房地产市场将呈现</w:t>
      </w:r>
      <w:r w:rsidR="00C32A80" w:rsidRPr="00FC427E">
        <w:rPr>
          <w:rFonts w:ascii="宋体" w:hAnsi="宋体" w:hint="eastAsia"/>
          <w:sz w:val="24"/>
        </w:rPr>
        <w:t>建筑企业（房地产企业）</w:t>
      </w:r>
      <w:r w:rsidR="00AB64A7" w:rsidRPr="00AB64A7">
        <w:rPr>
          <w:rFonts w:ascii="宋体" w:hAnsi="宋体" w:hint="eastAsia"/>
          <w:sz w:val="24"/>
        </w:rPr>
        <w:t>分化</w:t>
      </w:r>
    </w:p>
    <w:p w14:paraId="6B3E9844" w14:textId="437B4452" w:rsidR="00AB64A7" w:rsidRPr="00AB64A7" w:rsidRDefault="00AB64A7" w:rsidP="00FC427E">
      <w:pPr>
        <w:adjustRightInd w:val="0"/>
        <w:snapToGrid w:val="0"/>
        <w:spacing w:line="360" w:lineRule="auto"/>
        <w:ind w:firstLineChars="200" w:firstLine="480"/>
        <w:rPr>
          <w:rFonts w:ascii="宋体" w:hAnsi="宋体"/>
          <w:sz w:val="24"/>
        </w:rPr>
      </w:pPr>
      <w:r w:rsidRPr="00AB64A7">
        <w:rPr>
          <w:rFonts w:ascii="宋体" w:hAnsi="宋体" w:hint="eastAsia"/>
          <w:sz w:val="24"/>
        </w:rPr>
        <w:lastRenderedPageBreak/>
        <w:t>——大型企业</w:t>
      </w:r>
    </w:p>
    <w:p w14:paraId="5B644D08" w14:textId="6AF8C80A" w:rsidR="00AB64A7" w:rsidRPr="00AB64A7" w:rsidRDefault="00AB64A7" w:rsidP="00FC427E">
      <w:pPr>
        <w:adjustRightInd w:val="0"/>
        <w:snapToGrid w:val="0"/>
        <w:spacing w:line="360" w:lineRule="auto"/>
        <w:ind w:firstLineChars="200" w:firstLine="480"/>
        <w:rPr>
          <w:rFonts w:ascii="宋体" w:hAnsi="宋体"/>
          <w:sz w:val="24"/>
        </w:rPr>
      </w:pPr>
      <w:r w:rsidRPr="00AB64A7">
        <w:rPr>
          <w:rFonts w:ascii="宋体" w:hAnsi="宋体" w:hint="eastAsia"/>
          <w:sz w:val="24"/>
        </w:rPr>
        <w:t>——中型企业</w:t>
      </w:r>
    </w:p>
    <w:p w14:paraId="7DCB6273" w14:textId="651F280F" w:rsidR="00695824" w:rsidRPr="00FC427E" w:rsidRDefault="00AB64A7"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——小型企业</w:t>
      </w:r>
    </w:p>
    <w:p w14:paraId="748DFBD5" w14:textId="5BF01659" w:rsidR="00AB64A7" w:rsidRDefault="00154A49" w:rsidP="00AB64A7">
      <w:pPr>
        <w:adjustRightInd w:val="0"/>
        <w:snapToGrid w:val="0"/>
        <w:spacing w:line="360" w:lineRule="auto"/>
        <w:ind w:firstLineChars="200" w:firstLine="480"/>
        <w:rPr>
          <w:rFonts w:ascii="宋体" w:hAnsi="宋体" w:hint="eastAsia"/>
          <w:sz w:val="24"/>
        </w:rPr>
      </w:pPr>
      <w:r>
        <w:rPr>
          <w:rFonts w:ascii="宋体" w:hAnsi="宋体"/>
          <w:sz w:val="24"/>
        </w:rPr>
        <w:t>11</w:t>
      </w:r>
      <w:r w:rsidR="002106B2">
        <w:rPr>
          <w:rFonts w:ascii="宋体" w:hAnsi="宋体" w:hint="eastAsia"/>
          <w:sz w:val="24"/>
        </w:rPr>
        <w:t>、陕西各</w:t>
      </w:r>
      <w:r w:rsidR="006637D8">
        <w:rPr>
          <w:rFonts w:ascii="宋体" w:hAnsi="宋体" w:hint="eastAsia"/>
          <w:sz w:val="24"/>
        </w:rPr>
        <w:t>地区</w:t>
      </w:r>
      <w:r w:rsidR="002106B2">
        <w:rPr>
          <w:rFonts w:ascii="宋体" w:hAnsi="宋体" w:hint="eastAsia"/>
          <w:sz w:val="24"/>
        </w:rPr>
        <w:t>房地产形势与建筑企业机遇分析</w:t>
      </w:r>
    </w:p>
    <w:p w14:paraId="08676BC4" w14:textId="77777777" w:rsidR="002106B2" w:rsidRPr="004A44CB"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——陕西省其他</w:t>
      </w:r>
      <w:r w:rsidRPr="004A44CB">
        <w:rPr>
          <w:rFonts w:ascii="宋体" w:hAnsi="宋体" w:hint="eastAsia"/>
          <w:sz w:val="24"/>
        </w:rPr>
        <w:t>各个区域情况不同</w:t>
      </w:r>
    </w:p>
    <w:p w14:paraId="029DE9E4" w14:textId="77777777" w:rsidR="002106B2" w:rsidRPr="004A44CB" w:rsidRDefault="002106B2" w:rsidP="00FC427E">
      <w:pPr>
        <w:adjustRightInd w:val="0"/>
        <w:snapToGrid w:val="0"/>
        <w:spacing w:line="360" w:lineRule="auto"/>
        <w:ind w:firstLineChars="200" w:firstLine="480"/>
        <w:rPr>
          <w:rFonts w:ascii="宋体" w:hAnsi="宋体"/>
          <w:sz w:val="24"/>
        </w:rPr>
      </w:pPr>
      <w:r w:rsidRPr="004A44CB">
        <w:rPr>
          <w:rFonts w:ascii="宋体" w:hAnsi="宋体" w:hint="eastAsia"/>
          <w:sz w:val="24"/>
        </w:rPr>
        <w:t>——房价空间传导机制、区域房价相互作用机理（靠近</w:t>
      </w:r>
      <w:r w:rsidRPr="00FC427E">
        <w:rPr>
          <w:rFonts w:ascii="宋体" w:hAnsi="宋体" w:hint="eastAsia"/>
          <w:sz w:val="24"/>
        </w:rPr>
        <w:t>西安</w:t>
      </w:r>
      <w:r w:rsidRPr="004A44CB">
        <w:rPr>
          <w:rFonts w:ascii="宋体" w:hAnsi="宋体" w:hint="eastAsia"/>
          <w:sz w:val="24"/>
        </w:rPr>
        <w:t>）（外溢）</w:t>
      </w:r>
    </w:p>
    <w:p w14:paraId="7F227F54" w14:textId="77777777" w:rsidR="002106B2" w:rsidRPr="004A44CB" w:rsidRDefault="002106B2" w:rsidP="00FC427E">
      <w:pPr>
        <w:adjustRightInd w:val="0"/>
        <w:snapToGrid w:val="0"/>
        <w:spacing w:line="360" w:lineRule="auto"/>
        <w:ind w:firstLineChars="200" w:firstLine="480"/>
        <w:rPr>
          <w:rFonts w:ascii="宋体" w:hAnsi="宋体"/>
          <w:sz w:val="24"/>
        </w:rPr>
      </w:pPr>
      <w:r w:rsidRPr="004A44CB">
        <w:rPr>
          <w:rFonts w:ascii="宋体" w:hAnsi="宋体" w:hint="eastAsia"/>
          <w:sz w:val="24"/>
        </w:rPr>
        <w:t>——人随产业走，人往高处走</w:t>
      </w:r>
    </w:p>
    <w:p w14:paraId="7A1405DC" w14:textId="2EBA23B7" w:rsidR="00695824" w:rsidRDefault="002106B2">
      <w:pPr>
        <w:adjustRightInd w:val="0"/>
        <w:snapToGrid w:val="0"/>
        <w:spacing w:line="360" w:lineRule="auto"/>
        <w:ind w:firstLineChars="200" w:firstLine="480"/>
        <w:rPr>
          <w:rFonts w:ascii="宋体" w:hAnsi="宋体"/>
          <w:sz w:val="24"/>
        </w:rPr>
      </w:pPr>
      <w:r>
        <w:rPr>
          <w:rFonts w:ascii="宋体" w:hAnsi="宋体" w:hint="eastAsia"/>
          <w:sz w:val="24"/>
        </w:rPr>
        <w:t>——</w:t>
      </w:r>
      <w:r w:rsidR="00695824">
        <w:rPr>
          <w:rFonts w:ascii="宋体" w:hAnsi="宋体" w:hint="eastAsia"/>
          <w:sz w:val="24"/>
        </w:rPr>
        <w:t>西安</w:t>
      </w:r>
      <w:r w:rsidR="00AA65AF">
        <w:rPr>
          <w:rFonts w:ascii="宋体" w:hAnsi="宋体" w:hint="eastAsia"/>
          <w:sz w:val="24"/>
        </w:rPr>
        <w:t>（国家中心城市）</w:t>
      </w:r>
    </w:p>
    <w:p w14:paraId="37BC69E4" w14:textId="7CE369EC" w:rsidR="001654B4" w:rsidRPr="001654B4"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——榆林：</w:t>
      </w:r>
      <w:r w:rsidR="001654B4" w:rsidRPr="001654B4">
        <w:rPr>
          <w:rFonts w:ascii="宋体" w:hAnsi="宋体"/>
          <w:sz w:val="24"/>
        </w:rPr>
        <w:t>榆阳-神木一体化发展，进一步吸引人口集聚，实现中心城区人口过百万，建设呼包鄂榆城市群区域中心城市。榆林与呼和浩特、包头、银川、鄂尔多斯等城市协同发展，打造全国性综合交通枢纽、区域商贸物流中心和区域金融中心。</w:t>
      </w:r>
    </w:p>
    <w:p w14:paraId="52371789" w14:textId="510EE1DD" w:rsidR="001654B4" w:rsidRPr="001654B4" w:rsidRDefault="002106B2" w:rsidP="00FC427E">
      <w:pPr>
        <w:adjustRightInd w:val="0"/>
        <w:snapToGrid w:val="0"/>
        <w:spacing w:line="360" w:lineRule="auto"/>
        <w:ind w:firstLineChars="200" w:firstLine="480"/>
        <w:rPr>
          <w:rFonts w:ascii="宋体" w:hAnsi="宋体"/>
          <w:sz w:val="24"/>
        </w:rPr>
      </w:pPr>
      <w:r w:rsidRPr="00FC427E">
        <w:rPr>
          <w:rFonts w:ascii="宋体" w:hAnsi="宋体" w:hint="eastAsia"/>
          <w:sz w:val="24"/>
        </w:rPr>
        <w:t>——</w:t>
      </w:r>
      <w:r w:rsidR="001654B4" w:rsidRPr="001654B4">
        <w:rPr>
          <w:rFonts w:ascii="宋体" w:hAnsi="宋体"/>
          <w:sz w:val="24"/>
        </w:rPr>
        <w:t>其他8市1区</w:t>
      </w:r>
    </w:p>
    <w:p w14:paraId="27454421" w14:textId="77777777" w:rsidR="00870CD5" w:rsidRPr="00FC427E" w:rsidRDefault="00870CD5" w:rsidP="00FC427E">
      <w:pPr>
        <w:adjustRightInd w:val="0"/>
        <w:snapToGrid w:val="0"/>
        <w:spacing w:line="360" w:lineRule="auto"/>
        <w:ind w:firstLineChars="200" w:firstLine="480"/>
        <w:rPr>
          <w:rFonts w:ascii="宋体" w:hAnsi="宋体" w:hint="eastAsia"/>
          <w:sz w:val="24"/>
        </w:rPr>
      </w:pPr>
    </w:p>
    <w:p w14:paraId="04894EAD" w14:textId="42CD4C8C" w:rsidR="002A2DB7" w:rsidRDefault="001F2019" w:rsidP="002A2DB7">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五</w:t>
      </w:r>
      <w:r w:rsidR="002A2DB7">
        <w:rPr>
          <w:rFonts w:ascii="宋体" w:hAnsi="宋体" w:hint="eastAsia"/>
          <w:b/>
          <w:bCs/>
          <w:color w:val="0000FF"/>
          <w:sz w:val="24"/>
        </w:rPr>
        <w:t>、我国建筑行业未来发展的机遇与挑战</w:t>
      </w:r>
    </w:p>
    <w:p w14:paraId="229BEAA3"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1、城镇化没有完成，粤港澳大湾区建设、西安都市圈等区域一体化加速，基建和房地产市场需求大量存在，基建投资和房地产投资将继续发挥作用</w:t>
      </w:r>
    </w:p>
    <w:p w14:paraId="52853400"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2、中西部地区的后发优势，中西部基建和房地产市场前景广阔</w:t>
      </w:r>
    </w:p>
    <w:p w14:paraId="5B28B419"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3、消费结构升级，广大中产阶层购房需求增加</w:t>
      </w:r>
    </w:p>
    <w:p w14:paraId="43920397"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4、我国未来经济持续增长支撑基建和房地产需求</w:t>
      </w:r>
    </w:p>
    <w:p w14:paraId="53A08FE5"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5、十九大提出，用“三大变革”推动中国经济“高质量发展”</w:t>
      </w:r>
    </w:p>
    <w:p w14:paraId="51BD2E70"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——质量变革。未来是城市竞争，房子质量竞争</w:t>
      </w:r>
    </w:p>
    <w:p w14:paraId="61AB6E41"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——2013年城市家庭户均1套房，中国房地产市场出现拐点</w:t>
      </w:r>
    </w:p>
    <w:p w14:paraId="08B19F37"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——每次限购，房地产企业都会受到影响</w:t>
      </w:r>
    </w:p>
    <w:p w14:paraId="2135AE2A"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sz w:val="24"/>
        </w:rPr>
        <w:t>十九大</w:t>
      </w:r>
      <w:r>
        <w:rPr>
          <w:rFonts w:ascii="宋体" w:hAnsi="宋体" w:hint="eastAsia"/>
          <w:sz w:val="24"/>
        </w:rPr>
        <w:t>提出</w:t>
      </w:r>
      <w:r>
        <w:rPr>
          <w:rFonts w:ascii="宋体" w:hAnsi="宋体"/>
          <w:sz w:val="24"/>
        </w:rPr>
        <w:t>，“高速增长要转向高品质增长”</w:t>
      </w:r>
      <w:r>
        <w:rPr>
          <w:rFonts w:ascii="宋体" w:hAnsi="宋体" w:hint="eastAsia"/>
          <w:sz w:val="24"/>
        </w:rPr>
        <w:t>。</w:t>
      </w:r>
      <w:r>
        <w:rPr>
          <w:rFonts w:ascii="宋体" w:hAnsi="宋体"/>
          <w:sz w:val="24"/>
        </w:rPr>
        <w:t>提高</w:t>
      </w:r>
      <w:r>
        <w:rPr>
          <w:rFonts w:ascii="宋体" w:hAnsi="宋体" w:hint="eastAsia"/>
          <w:sz w:val="24"/>
        </w:rPr>
        <w:t>住房</w:t>
      </w:r>
      <w:r>
        <w:rPr>
          <w:rFonts w:ascii="宋体" w:hAnsi="宋体"/>
          <w:sz w:val="24"/>
        </w:rPr>
        <w:t>品质</w:t>
      </w:r>
      <w:r>
        <w:rPr>
          <w:rFonts w:ascii="宋体" w:hAnsi="宋体" w:hint="eastAsia"/>
          <w:sz w:val="24"/>
        </w:rPr>
        <w:t>是</w:t>
      </w:r>
      <w:r>
        <w:rPr>
          <w:rFonts w:ascii="宋体" w:hAnsi="宋体"/>
          <w:sz w:val="24"/>
        </w:rPr>
        <w:t>全国消费者的心声，要引起</w:t>
      </w:r>
      <w:r>
        <w:rPr>
          <w:rFonts w:ascii="宋体" w:hAnsi="宋体" w:hint="eastAsia"/>
          <w:sz w:val="24"/>
        </w:rPr>
        <w:t>房地产企业</w:t>
      </w:r>
      <w:r>
        <w:rPr>
          <w:rFonts w:ascii="宋体" w:hAnsi="宋体"/>
          <w:sz w:val="24"/>
        </w:rPr>
        <w:t>的高度重视</w:t>
      </w:r>
    </w:p>
    <w:p w14:paraId="2367490B"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6、十九大报告提出，房子是用来住的，不是用来炒的。预示房地产市场将平稳发展。不会大起大落</w:t>
      </w:r>
    </w:p>
    <w:p w14:paraId="4C69DEEC"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、新基建政策给建筑行业带来的机遇</w:t>
      </w:r>
    </w:p>
    <w:p w14:paraId="1499D8DB"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应对疫情影响，为了振兴经济，国家特别提出要加快5G网络、数据中心等</w:t>
      </w:r>
      <w:r>
        <w:rPr>
          <w:rFonts w:ascii="宋体" w:hAnsi="宋体" w:hint="eastAsia"/>
          <w:sz w:val="24"/>
        </w:rPr>
        <w:lastRenderedPageBreak/>
        <w:t>新型基础设施建设进度，这也是近期行业关注的热点，将成为下一步工程建设领域的投资热点，给建筑业带来重大发展机遇。</w:t>
      </w:r>
    </w:p>
    <w:p w14:paraId="6D210A38"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sz w:val="24"/>
        </w:rPr>
        <w:t>8</w:t>
      </w:r>
      <w:r>
        <w:rPr>
          <w:rFonts w:ascii="宋体" w:hAnsi="宋体" w:hint="eastAsia"/>
          <w:sz w:val="24"/>
        </w:rPr>
        <w:t>、新政策给建筑企业在技术水平、服务水平等方面带来更高的要求</w:t>
      </w:r>
    </w:p>
    <w:p w14:paraId="2791FD2F"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sz w:val="24"/>
        </w:rPr>
        <w:t>9</w:t>
      </w:r>
      <w:r>
        <w:rPr>
          <w:rFonts w:ascii="宋体" w:hAnsi="宋体" w:hint="eastAsia"/>
          <w:sz w:val="24"/>
        </w:rPr>
        <w:t>、疫情给建筑行业带来的挑战</w:t>
      </w:r>
    </w:p>
    <w:p w14:paraId="469DA725" w14:textId="77777777" w:rsidR="00B56A39" w:rsidRPr="00924C45" w:rsidRDefault="00B56A39">
      <w:pPr>
        <w:adjustRightInd w:val="0"/>
        <w:snapToGrid w:val="0"/>
        <w:spacing w:line="360" w:lineRule="auto"/>
        <w:ind w:firstLineChars="200" w:firstLine="480"/>
        <w:rPr>
          <w:rFonts w:ascii="宋体" w:hAnsi="宋体"/>
          <w:sz w:val="24"/>
        </w:rPr>
      </w:pPr>
    </w:p>
    <w:p w14:paraId="52B76B0B" w14:textId="33F9F76B" w:rsidR="00CD6B0A" w:rsidRDefault="001F2019">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六</w:t>
      </w:r>
      <w:r w:rsidR="00C567E5">
        <w:rPr>
          <w:rFonts w:ascii="宋体" w:hAnsi="宋体" w:hint="eastAsia"/>
          <w:b/>
          <w:bCs/>
          <w:color w:val="0000FF"/>
          <w:sz w:val="24"/>
        </w:rPr>
        <w:t>、</w:t>
      </w:r>
      <w:r w:rsidR="005A652F">
        <w:rPr>
          <w:rFonts w:ascii="宋体" w:hAnsi="宋体" w:hint="eastAsia"/>
          <w:b/>
          <w:bCs/>
          <w:color w:val="0000FF"/>
          <w:sz w:val="24"/>
        </w:rPr>
        <w:t>新</w:t>
      </w:r>
      <w:r w:rsidR="00C567E5">
        <w:rPr>
          <w:rFonts w:ascii="宋体" w:hAnsi="宋体" w:hint="eastAsia"/>
          <w:b/>
          <w:bCs/>
          <w:color w:val="0000FF"/>
          <w:sz w:val="24"/>
        </w:rPr>
        <w:t>时期我国建筑行业的发展趋势</w:t>
      </w:r>
    </w:p>
    <w:p w14:paraId="619263C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1、疫情或将加速建筑行业企业分化</w:t>
      </w:r>
    </w:p>
    <w:p w14:paraId="480AC0E1"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面对疫情带来的影响，大型企业无论是在内部组织管理还是资金成本控制方面，抗风险能力都要比中小企业能力更强。疫情或将加速建筑行业企业分化，优势资源将集中在大型企业手中，大型企业凭借优势将更获市场青睐。</w:t>
      </w:r>
    </w:p>
    <w:p w14:paraId="38335BC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3、数字化、智慧化成为转型升级引擎</w:t>
      </w:r>
    </w:p>
    <w:p w14:paraId="255428F3"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——从“土木基建”到“信息基建”，技术落地至关重要</w:t>
      </w:r>
    </w:p>
    <w:p w14:paraId="28B3B557"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——极简安装，普遍适用，让物联网技术在工地顺利落地</w:t>
      </w:r>
    </w:p>
    <w:p w14:paraId="114093E3" w14:textId="6A7DA348"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4、建筑领域新资质标准的出台将使建筑业面临重新洗牌，建筑企业的发展趋势是“大而全”、“专而精”。</w:t>
      </w:r>
    </w:p>
    <w:p w14:paraId="70EDDEE4" w14:textId="358F0FDA" w:rsidR="005A652F" w:rsidRDefault="005A652F">
      <w:pPr>
        <w:adjustRightInd w:val="0"/>
        <w:snapToGrid w:val="0"/>
        <w:spacing w:line="360" w:lineRule="auto"/>
        <w:ind w:firstLineChars="200" w:firstLine="480"/>
        <w:rPr>
          <w:rFonts w:ascii="宋体" w:hAnsi="宋体"/>
          <w:sz w:val="24"/>
        </w:rPr>
      </w:pPr>
      <w:r>
        <w:rPr>
          <w:rFonts w:ascii="宋体" w:hAnsi="宋体" w:hint="eastAsia"/>
          <w:sz w:val="24"/>
        </w:rPr>
        <w:t>5、越来越重视绿色建筑</w:t>
      </w:r>
      <w:r w:rsidR="00B913AE">
        <w:rPr>
          <w:rFonts w:ascii="宋体" w:hAnsi="宋体" w:hint="eastAsia"/>
          <w:sz w:val="24"/>
        </w:rPr>
        <w:t>、水务环保、装配式建筑等</w:t>
      </w:r>
    </w:p>
    <w:p w14:paraId="4C5FE048" w14:textId="72335A94" w:rsidR="00FC395E" w:rsidRDefault="00FC395E">
      <w:pPr>
        <w:adjustRightInd w:val="0"/>
        <w:snapToGrid w:val="0"/>
        <w:spacing w:line="360" w:lineRule="auto"/>
        <w:ind w:firstLineChars="200" w:firstLine="480"/>
        <w:rPr>
          <w:rFonts w:ascii="宋体" w:hAnsi="宋体"/>
          <w:sz w:val="24"/>
        </w:rPr>
      </w:pPr>
      <w:r>
        <w:rPr>
          <w:rFonts w:ascii="宋体" w:hAnsi="宋体" w:hint="eastAsia"/>
          <w:sz w:val="24"/>
        </w:rPr>
        <w:t>6、越来越重视科技创新引领</w:t>
      </w:r>
    </w:p>
    <w:p w14:paraId="3726D614" w14:textId="675BD940" w:rsidR="00FC395E" w:rsidRDefault="00FC395E">
      <w:pPr>
        <w:adjustRightInd w:val="0"/>
        <w:snapToGrid w:val="0"/>
        <w:spacing w:line="360" w:lineRule="auto"/>
        <w:ind w:firstLineChars="200" w:firstLine="480"/>
        <w:rPr>
          <w:rFonts w:ascii="宋体" w:hAnsi="宋体"/>
          <w:sz w:val="24"/>
        </w:rPr>
      </w:pPr>
      <w:r>
        <w:rPr>
          <w:rFonts w:ascii="宋体" w:hAnsi="宋体" w:hint="eastAsia"/>
          <w:sz w:val="24"/>
        </w:rPr>
        <w:t>——新技术、新模式、新材料等</w:t>
      </w:r>
    </w:p>
    <w:p w14:paraId="757637AA" w14:textId="1B1D78CC" w:rsidR="00CD6B0A" w:rsidRDefault="00CD6B0A">
      <w:pPr>
        <w:adjustRightInd w:val="0"/>
        <w:snapToGrid w:val="0"/>
        <w:spacing w:line="360" w:lineRule="auto"/>
        <w:ind w:firstLineChars="200" w:firstLine="480"/>
        <w:rPr>
          <w:rFonts w:ascii="宋体" w:hAnsi="宋体"/>
          <w:sz w:val="24"/>
        </w:rPr>
      </w:pPr>
    </w:p>
    <w:p w14:paraId="40A2247C" w14:textId="5D77B2D6" w:rsidR="002A2DB7" w:rsidRDefault="001F2019" w:rsidP="002A2DB7">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七</w:t>
      </w:r>
      <w:r w:rsidR="002A2DB7">
        <w:rPr>
          <w:rFonts w:ascii="宋体" w:hAnsi="宋体" w:hint="eastAsia"/>
          <w:b/>
          <w:bCs/>
          <w:color w:val="0000FF"/>
          <w:sz w:val="24"/>
        </w:rPr>
        <w:t>、我国建筑行业发展的政策背景：我国基建政策和房地产政策的变化和影响</w:t>
      </w:r>
    </w:p>
    <w:p w14:paraId="275E76F9"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1、基建政策变化和影响</w:t>
      </w:r>
    </w:p>
    <w:p w14:paraId="6E0704B2"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——2018年10月31日，国务院办公厅下发国办发〔2018〕101号文《关于保持基础设施领域补短板力度的指导意见》，提出由于2018年以来基础设施投资增速回落较多，亟需聚焦基础设施领域突出短板。</w:t>
      </w:r>
    </w:p>
    <w:p w14:paraId="1E4C237E"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——主要精神：加大基建补短板力度，融资平台、PPP、专项债、贷款保驾护航。</w:t>
      </w:r>
    </w:p>
    <w:p w14:paraId="69FA51F1"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——2008年10月的基建托底，典型特征是“力度大”（4万亿资金注入）、“落地快”（在10月的常务会议上，就核准一批建设项目）。</w:t>
      </w:r>
    </w:p>
    <w:p w14:paraId="43267B18"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——2019年以来，经济下行期，投资不旺的情况下，基建托底是大势所趋</w:t>
      </w:r>
    </w:p>
    <w:p w14:paraId="364D1AD1"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lastRenderedPageBreak/>
        <w:t>2、3月12日，国务院发布《关于授权和委托用地审批权的决定》，明确了省级政府更大的用地自主权。</w:t>
      </w:r>
    </w:p>
    <w:p w14:paraId="470A8843"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——《决定》称，将国务院可以授权的永久</w:t>
      </w:r>
      <w:hyperlink r:id="rId7" w:history="1">
        <w:r>
          <w:rPr>
            <w:rFonts w:ascii="宋体" w:hAnsi="宋体" w:hint="eastAsia"/>
            <w:sz w:val="24"/>
          </w:rPr>
          <w:t>基本农田</w:t>
        </w:r>
      </w:hyperlink>
      <w:r>
        <w:rPr>
          <w:rFonts w:ascii="宋体" w:hAnsi="宋体" w:hint="eastAsia"/>
          <w:sz w:val="24"/>
        </w:rPr>
        <w:t>以外的</w:t>
      </w:r>
      <w:hyperlink r:id="rId8" w:history="1">
        <w:r>
          <w:rPr>
            <w:rFonts w:ascii="宋体" w:hAnsi="宋体" w:hint="eastAsia"/>
            <w:sz w:val="24"/>
          </w:rPr>
          <w:t>农用地</w:t>
        </w:r>
      </w:hyperlink>
      <w:r>
        <w:rPr>
          <w:rFonts w:ascii="宋体" w:hAnsi="宋体" w:hint="eastAsia"/>
          <w:sz w:val="24"/>
        </w:rPr>
        <w:t>转为</w:t>
      </w:r>
      <w:hyperlink r:id="rId9" w:history="1">
        <w:r>
          <w:rPr>
            <w:rFonts w:ascii="宋体" w:hAnsi="宋体" w:hint="eastAsia"/>
            <w:sz w:val="24"/>
          </w:rPr>
          <w:t>建设用地</w:t>
        </w:r>
      </w:hyperlink>
      <w:r>
        <w:rPr>
          <w:rFonts w:ascii="宋体" w:hAnsi="宋体" w:hint="eastAsia"/>
          <w:sz w:val="24"/>
        </w:rPr>
        <w:t>审批事项授权各省、自治区、直辖市人民政府批准。</w:t>
      </w:r>
    </w:p>
    <w:p w14:paraId="7A1A3EFD"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5BEF6925"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3、2018年年底的中央经济工作会议中，提出“新基建”概念。会议提出“加强人工智能、工业互联网、物联网等新型基础设施建设”。</w:t>
      </w:r>
    </w:p>
    <w:p w14:paraId="0AA18663"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4、应对疫情影响，发力新基建。中共中央政治局常务委员会2020年3月4日召开的会议中进一步提出“要加大公共卫生服务、应急物资保障领域投入，加快5G网络、数据中心等新型基础设施建设进度”。</w:t>
      </w:r>
    </w:p>
    <w:p w14:paraId="71AD448D"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5、中共中央政治局常务委员会2020年3月4日召开的会议中进一步提出，要选好投资项目，加强用地、用能、资金等政策配套，加快推进国家规划已明确的重大工程和基础设施建设。</w:t>
      </w:r>
    </w:p>
    <w:p w14:paraId="1F2BC518"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6、2020年新增专项债向基建倾斜，政策性金融或成为基建的“长期资金供给”</w:t>
      </w:r>
    </w:p>
    <w:p w14:paraId="6D34E48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——随着资金问题得到缓解，同时基建项目储备充足，2020年建筑业弱复苏趋势稳定。</w:t>
      </w:r>
    </w:p>
    <w:p w14:paraId="21304C2A"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7、“房住不炒”政策变化影响建筑业</w:t>
      </w:r>
    </w:p>
    <w:p w14:paraId="54E6AC6A"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——自2016年四季度以来，中国楼市进入“五限时代”</w:t>
      </w:r>
    </w:p>
    <w:p w14:paraId="30715173"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——中央提出“房住不炒”</w:t>
      </w:r>
    </w:p>
    <w:p w14:paraId="064E74AF"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——银行贷款、发行债券、海外融资等融资渠道被限制</w:t>
      </w:r>
    </w:p>
    <w:p w14:paraId="0ADF1121"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——最新房地产政策变化影响建筑行业</w:t>
      </w:r>
    </w:p>
    <w:p w14:paraId="2AA0D144" w14:textId="77777777" w:rsidR="002A2DB7" w:rsidRP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8、</w:t>
      </w:r>
      <w:r w:rsidRPr="002A2DB7">
        <w:rPr>
          <w:rFonts w:ascii="宋体" w:hAnsi="宋体" w:hint="eastAsia"/>
          <w:sz w:val="24"/>
        </w:rPr>
        <w:t>最新房地产金融政策</w:t>
      </w:r>
    </w:p>
    <w:p w14:paraId="7688F2F8"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（1）三道红线</w:t>
      </w:r>
    </w:p>
    <w:p w14:paraId="7EDE090E"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2020年8月央行和住建部发布加强对房企资金“三道红线”管控</w:t>
      </w:r>
    </w:p>
    <w:p w14:paraId="270E4CC2"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（2）房贷收紧、房贷利率提高</w:t>
      </w:r>
    </w:p>
    <w:p w14:paraId="6AA36CE4"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2020年12月央行发布对银行房贷“五档分类”要求</w:t>
      </w:r>
    </w:p>
    <w:p w14:paraId="1A954C6F"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lastRenderedPageBreak/>
        <w:t>——广东地区L</w:t>
      </w:r>
      <w:r w:rsidRPr="002A2DB7">
        <w:rPr>
          <w:rFonts w:ascii="宋体" w:hAnsi="宋体"/>
          <w:sz w:val="24"/>
        </w:rPr>
        <w:t>PR</w:t>
      </w:r>
      <w:r w:rsidRPr="002A2DB7">
        <w:rPr>
          <w:rFonts w:ascii="宋体" w:hAnsi="宋体" w:hint="eastAsia"/>
          <w:sz w:val="24"/>
        </w:rPr>
        <w:t>加点提高</w:t>
      </w:r>
    </w:p>
    <w:p w14:paraId="6CA1FD7D"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——严查房抵经营贷违规流入楼市</w:t>
      </w:r>
    </w:p>
    <w:p w14:paraId="1D8682F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——上海、广东限购政策升级，对政策“打补丁”</w:t>
      </w:r>
    </w:p>
    <w:p w14:paraId="4C5B46EC"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（3）</w:t>
      </w:r>
      <w:r w:rsidRPr="002A2DB7">
        <w:rPr>
          <w:rFonts w:ascii="宋体" w:hAnsi="宋体"/>
          <w:sz w:val="24"/>
        </w:rPr>
        <w:t>地产信托业务正经历又一轮监管调控</w:t>
      </w:r>
    </w:p>
    <w:p w14:paraId="64BCBBFA"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针对狂飙突进的地产信托业务，</w:t>
      </w:r>
      <w:r w:rsidRPr="002A2DB7">
        <w:rPr>
          <w:rFonts w:ascii="宋体" w:hAnsi="宋体" w:hint="eastAsia"/>
          <w:sz w:val="24"/>
        </w:rPr>
        <w:t>2</w:t>
      </w:r>
      <w:r w:rsidRPr="002A2DB7">
        <w:rPr>
          <w:rFonts w:ascii="宋体" w:hAnsi="宋体"/>
          <w:sz w:val="24"/>
        </w:rPr>
        <w:t>021</w:t>
      </w:r>
      <w:r w:rsidRPr="002A2DB7">
        <w:rPr>
          <w:rFonts w:ascii="宋体" w:hAnsi="宋体" w:hint="eastAsia"/>
          <w:sz w:val="24"/>
        </w:rPr>
        <w:t>年</w:t>
      </w:r>
      <w:r w:rsidRPr="002A2DB7">
        <w:rPr>
          <w:rFonts w:ascii="宋体" w:hAnsi="宋体"/>
          <w:sz w:val="24"/>
        </w:rPr>
        <w:t>5月中旬，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37844368"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23号文+窗口指导后</w:t>
      </w:r>
      <w:r w:rsidRPr="002A2DB7">
        <w:rPr>
          <w:rFonts w:ascii="宋体" w:hAnsi="宋体" w:hint="eastAsia"/>
          <w:sz w:val="24"/>
        </w:rPr>
        <w:t>，</w:t>
      </w:r>
      <w:r w:rsidRPr="002A2DB7">
        <w:rPr>
          <w:rFonts w:ascii="宋体" w:hAnsi="宋体"/>
          <w:sz w:val="24"/>
        </w:rPr>
        <w:t>部分信托房地产业务暂停，旧改、供应链金融购房尾款类项目除外</w:t>
      </w:r>
    </w:p>
    <w:p w14:paraId="681AC19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（4）房贷集中度管理新政</w:t>
      </w:r>
    </w:p>
    <w:p w14:paraId="6581FC1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2021年1月9日 中国人民银行、银保监会日前发布《关于建立银行业金融机构房地产贷款集中度管理制度的通知》,决定建立银行业金融机构房地产贷款集中度管理制度</w:t>
      </w:r>
    </w:p>
    <w:p w14:paraId="46B12C0A"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——各省加码</w:t>
      </w:r>
    </w:p>
    <w:p w14:paraId="15F35720"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（5）“集中发布出让公告、集中组织出让活动”两集中</w:t>
      </w:r>
    </w:p>
    <w:p w14:paraId="336211C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——22城住宅用地公告不能超过三次</w:t>
      </w:r>
    </w:p>
    <w:p w14:paraId="54511779"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——与2</w:t>
      </w:r>
      <w:r w:rsidRPr="002A2DB7">
        <w:rPr>
          <w:rFonts w:ascii="宋体" w:hAnsi="宋体"/>
          <w:sz w:val="24"/>
        </w:rPr>
        <w:t>2</w:t>
      </w:r>
      <w:r w:rsidRPr="002A2DB7">
        <w:rPr>
          <w:rFonts w:ascii="宋体" w:hAnsi="宋体" w:hint="eastAsia"/>
          <w:sz w:val="24"/>
        </w:rPr>
        <w:t>城G</w:t>
      </w:r>
      <w:r w:rsidRPr="002A2DB7">
        <w:rPr>
          <w:rFonts w:ascii="宋体" w:hAnsi="宋体"/>
          <w:sz w:val="24"/>
        </w:rPr>
        <w:t>DP</w:t>
      </w:r>
      <w:r w:rsidRPr="002A2DB7">
        <w:rPr>
          <w:rFonts w:ascii="宋体" w:hAnsi="宋体" w:hint="eastAsia"/>
          <w:sz w:val="24"/>
        </w:rPr>
        <w:t>接近的城市，会成为房企拿地的潜在目标</w:t>
      </w:r>
    </w:p>
    <w:p w14:paraId="6C6EB1F7"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9、在经济“双循环”中，基建必将扮演重要角色</w:t>
      </w:r>
    </w:p>
    <w:p w14:paraId="6DAE3475"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——以国内大循环为主体、国内国际双循环相互促进的新发展格局</w:t>
      </w:r>
    </w:p>
    <w:p w14:paraId="4F1F63B7"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——我国未来经济持续增长需要基建提供助力</w:t>
      </w:r>
    </w:p>
    <w:p w14:paraId="02413D06"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10、新型城镇化和都市圈建设，需要基建的支持</w:t>
      </w:r>
    </w:p>
    <w:p w14:paraId="1BCEC4FB" w14:textId="658ED71A" w:rsidR="002A2DB7" w:rsidRPr="002A2DB7" w:rsidRDefault="000B5178" w:rsidP="002A2DB7">
      <w:pPr>
        <w:adjustRightInd w:val="0"/>
        <w:snapToGrid w:val="0"/>
        <w:spacing w:line="360" w:lineRule="auto"/>
        <w:ind w:firstLineChars="200" w:firstLine="480"/>
        <w:rPr>
          <w:rFonts w:ascii="宋体" w:hAnsi="宋体"/>
          <w:sz w:val="24"/>
        </w:rPr>
      </w:pPr>
      <w:r>
        <w:rPr>
          <w:rFonts w:ascii="宋体" w:hAnsi="宋体"/>
          <w:sz w:val="24"/>
        </w:rPr>
        <w:t>11</w:t>
      </w:r>
      <w:r w:rsidR="002A2DB7" w:rsidRPr="002A2DB7">
        <w:rPr>
          <w:rFonts w:ascii="宋体" w:hAnsi="宋体" w:hint="eastAsia"/>
          <w:sz w:val="24"/>
        </w:rPr>
        <w:t>、19大后中国经济走向预示建筑行业平稳发展</w:t>
      </w:r>
    </w:p>
    <w:p w14:paraId="666794B2"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——我国长期向好支撑基建和房地产需求</w:t>
      </w:r>
    </w:p>
    <w:p w14:paraId="2EC05465"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——基建和房地产市场健康发展是政府、百姓的共同愿望</w:t>
      </w:r>
    </w:p>
    <w:p w14:paraId="23727777"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——基础设施建设是经济发展的支撑条件</w:t>
      </w:r>
    </w:p>
    <w:p w14:paraId="795DE2B9"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——朱镕基：房地产拉动了一百多个产业发展</w:t>
      </w:r>
    </w:p>
    <w:p w14:paraId="21CFD2E3"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——地方财政压力</w:t>
      </w:r>
    </w:p>
    <w:p w14:paraId="3CDA15B9" w14:textId="77777777" w:rsidR="002A2DB7" w:rsidRDefault="002A2DB7" w:rsidP="002A2DB7">
      <w:pPr>
        <w:adjustRightInd w:val="0"/>
        <w:snapToGrid w:val="0"/>
        <w:spacing w:line="360" w:lineRule="auto"/>
        <w:ind w:firstLineChars="200" w:firstLine="480"/>
        <w:rPr>
          <w:rFonts w:ascii="宋体" w:hAnsi="宋体"/>
          <w:sz w:val="24"/>
        </w:rPr>
      </w:pPr>
      <w:r>
        <w:rPr>
          <w:rFonts w:ascii="宋体" w:hAnsi="宋体" w:hint="eastAsia"/>
          <w:sz w:val="24"/>
        </w:rPr>
        <w:t>——百姓财富保值</w:t>
      </w:r>
    </w:p>
    <w:p w14:paraId="15802A15" w14:textId="08156C70"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1</w:t>
      </w:r>
      <w:r w:rsidR="000B5178">
        <w:rPr>
          <w:rFonts w:ascii="宋体" w:hAnsi="宋体"/>
          <w:sz w:val="24"/>
        </w:rPr>
        <w:t>2</w:t>
      </w:r>
      <w:r w:rsidRPr="002A2DB7">
        <w:rPr>
          <w:rFonts w:ascii="宋体" w:hAnsi="宋体" w:hint="eastAsia"/>
          <w:sz w:val="24"/>
        </w:rPr>
        <w:t>、基建扩张面临巨大阻力，主要原因：</w:t>
      </w:r>
    </w:p>
    <w:p w14:paraId="70DB333B"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lastRenderedPageBreak/>
        <w:t>——财政约束。各省财政赤字太大。</w:t>
      </w:r>
    </w:p>
    <w:p w14:paraId="244942D7"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——货币约束</w:t>
      </w:r>
    </w:p>
    <w:p w14:paraId="2995F4DE"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——成本约束</w:t>
      </w:r>
    </w:p>
    <w:p w14:paraId="78DFBC6A" w14:textId="77777777" w:rsidR="002A2DB7" w:rsidRPr="002A2DB7" w:rsidRDefault="002A2DB7" w:rsidP="002A2DB7">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需求导向、效益为本</w:t>
      </w:r>
      <w:r w:rsidRPr="002A2DB7">
        <w:rPr>
          <w:rFonts w:ascii="宋体" w:hAnsi="宋体" w:hint="eastAsia"/>
          <w:sz w:val="24"/>
        </w:rPr>
        <w:t>：</w:t>
      </w:r>
      <w:r w:rsidRPr="002A2DB7">
        <w:rPr>
          <w:rFonts w:ascii="宋体" w:hAnsi="宋体"/>
          <w:sz w:val="24"/>
        </w:rPr>
        <w:t>2021.3.29</w:t>
      </w:r>
      <w:r w:rsidRPr="002A2DB7">
        <w:rPr>
          <w:rFonts w:ascii="宋体" w:hAnsi="宋体" w:hint="eastAsia"/>
          <w:sz w:val="24"/>
        </w:rPr>
        <w:t>，国务院</w:t>
      </w:r>
      <w:r w:rsidRPr="002A2DB7">
        <w:rPr>
          <w:rFonts w:ascii="宋体" w:hAnsi="宋体"/>
          <w:sz w:val="24"/>
        </w:rPr>
        <w:t>办公厅</w:t>
      </w:r>
      <w:r w:rsidRPr="002A2DB7">
        <w:rPr>
          <w:rFonts w:ascii="宋体" w:hAnsi="宋体" w:hint="eastAsia"/>
          <w:sz w:val="24"/>
        </w:rPr>
        <w:t>最新通知：严禁以新建城际铁路/市域（郊）铁路名义变相建设地铁/轻轨</w:t>
      </w:r>
    </w:p>
    <w:p w14:paraId="42707713" w14:textId="6D6E4BC3" w:rsidR="0026683B" w:rsidRPr="00B779AF" w:rsidRDefault="0026683B" w:rsidP="0026683B">
      <w:pPr>
        <w:adjustRightInd w:val="0"/>
        <w:snapToGrid w:val="0"/>
        <w:spacing w:line="360" w:lineRule="auto"/>
        <w:ind w:firstLineChars="200" w:firstLine="480"/>
        <w:rPr>
          <w:rFonts w:ascii="宋体" w:hAnsi="宋体"/>
          <w:sz w:val="24"/>
        </w:rPr>
      </w:pPr>
      <w:r>
        <w:rPr>
          <w:rFonts w:ascii="宋体" w:hAnsi="宋体"/>
          <w:sz w:val="24"/>
        </w:rPr>
        <w:t>13</w:t>
      </w:r>
      <w:r w:rsidRPr="00B779AF">
        <w:rPr>
          <w:rFonts w:ascii="宋体" w:hAnsi="宋体" w:hint="eastAsia"/>
          <w:sz w:val="24"/>
        </w:rPr>
        <w:t>、202</w:t>
      </w:r>
      <w:r w:rsidRPr="00B779AF">
        <w:rPr>
          <w:rFonts w:ascii="宋体" w:hAnsi="宋体"/>
          <w:sz w:val="24"/>
        </w:rPr>
        <w:t>1</w:t>
      </w:r>
      <w:r w:rsidRPr="00B779AF">
        <w:rPr>
          <w:rFonts w:ascii="宋体" w:hAnsi="宋体" w:hint="eastAsia"/>
          <w:sz w:val="24"/>
        </w:rPr>
        <w:t>年《政府工作报告》关于基建、新基建、房地产的相关精神解读</w:t>
      </w:r>
    </w:p>
    <w:p w14:paraId="6F94DFA7" w14:textId="77777777" w:rsidR="0026683B" w:rsidRPr="008B6A20"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（1）</w:t>
      </w:r>
      <w:r>
        <w:rPr>
          <w:rFonts w:ascii="宋体" w:hAnsi="宋体" w:hint="eastAsia"/>
          <w:sz w:val="24"/>
        </w:rPr>
        <w:t>刺激经济还是要靠基建</w:t>
      </w:r>
    </w:p>
    <w:p w14:paraId="3D54FC02"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（2）基建：积极的财政政策有望保证基建项目资金需求</w:t>
      </w:r>
    </w:p>
    <w:p w14:paraId="0054B9C3" w14:textId="77777777" w:rsidR="0026683B" w:rsidRDefault="0026683B" w:rsidP="0026683B">
      <w:pPr>
        <w:adjustRightInd w:val="0"/>
        <w:snapToGrid w:val="0"/>
        <w:spacing w:line="360" w:lineRule="auto"/>
        <w:ind w:firstLineChars="200" w:firstLine="480"/>
        <w:rPr>
          <w:rFonts w:ascii="宋体" w:hAnsi="宋体"/>
          <w:sz w:val="24"/>
        </w:rPr>
      </w:pPr>
      <w:r>
        <w:rPr>
          <w:rFonts w:ascii="宋体" w:hAnsi="宋体" w:hint="eastAsia"/>
          <w:sz w:val="24"/>
        </w:rPr>
        <w:t>——积极的财政政策（</w:t>
      </w:r>
      <w:r w:rsidRPr="00B779AF">
        <w:rPr>
          <w:rFonts w:ascii="宋体" w:hAnsi="宋体" w:hint="eastAsia"/>
          <w:sz w:val="24"/>
        </w:rPr>
        <w:t>去年的专项债没用完）</w:t>
      </w:r>
    </w:p>
    <w:p w14:paraId="4D6729EF" w14:textId="77777777" w:rsidR="0026683B" w:rsidRPr="00B779AF" w:rsidRDefault="0026683B" w:rsidP="0026683B">
      <w:pPr>
        <w:adjustRightInd w:val="0"/>
        <w:snapToGrid w:val="0"/>
        <w:spacing w:line="360" w:lineRule="auto"/>
        <w:ind w:firstLineChars="200" w:firstLine="480"/>
        <w:rPr>
          <w:rFonts w:ascii="宋体" w:hAnsi="宋体" w:hint="eastAsia"/>
          <w:sz w:val="24"/>
        </w:rPr>
      </w:pPr>
      <w:r w:rsidRPr="00B779AF">
        <w:rPr>
          <w:rFonts w:ascii="宋体" w:hAnsi="宋体" w:hint="eastAsia"/>
          <w:sz w:val="24"/>
        </w:rPr>
        <w:t>——预计2021年基建投资（全口径）增速将达到4.6%，略超去年水平。在新增地方政府专项债3.75万亿和抗疫特别国债1万亿的的2020年，基建投资（全口径）增速仅有3.6%，尚有部分资金还未真正形成支出——2020年财政存款增加约3000亿，另有部分支出或未完成实物投资量，可平滑至2021年进一步形成投资。叠加今年积极的财政政策，2021年基建投资（全口径）增速预计有望达到4.5%-6.0%之间，超过2020年1.0个百分点以上。我们的这一测算已经充分考虑了地方政府统筹土地出让金收入用于稳步去化杠杆的需求。</w:t>
      </w:r>
    </w:p>
    <w:p w14:paraId="09C0833B"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（3）新基建</w:t>
      </w:r>
    </w:p>
    <w:p w14:paraId="39772249" w14:textId="77777777" w:rsidR="0026683B" w:rsidRPr="00B779AF" w:rsidRDefault="0026683B" w:rsidP="0026683B">
      <w:pPr>
        <w:adjustRightInd w:val="0"/>
        <w:snapToGrid w:val="0"/>
        <w:spacing w:line="360" w:lineRule="auto"/>
        <w:ind w:firstLineChars="200" w:firstLine="480"/>
        <w:rPr>
          <w:rFonts w:ascii="宋体" w:hAnsi="宋体" w:hint="eastAsia"/>
          <w:sz w:val="24"/>
        </w:rPr>
      </w:pPr>
      <w:r w:rsidRPr="00B779AF">
        <w:rPr>
          <w:rFonts w:ascii="宋体" w:hAnsi="宋体" w:hint="eastAsia"/>
          <w:sz w:val="24"/>
        </w:rPr>
        <w:t>——政府工作报告中要求“统筹推进传统基础设施和新型基础设施建设。”在优化和稳定产业链供应链部分，也强调“加大5G网络和千兆光网建设力度”和“加强质量基础设施建设”。此外今年政府投资方向继续侧重“两新一重”建设，完善承诺制加快项目审批和落地。投资重点领域延续2020年政府工作报告的“两新一重”领域，新提及“发展现代物流体系”，以畅通国内要素流动，促进国内大循环。“简化投资审批程序，推进实施企业投资项目承诺制”，加快项目审批和落地。会议同时强调“完善支持社会资本参与政策”。</w:t>
      </w:r>
    </w:p>
    <w:p w14:paraId="2A6B18AC"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（4）房地产</w:t>
      </w:r>
    </w:p>
    <w:p w14:paraId="699E4344"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——住房问题延续房住不炒、因城施策和旧城改造的基调，但突出租赁问题和大城市住房发展问题</w:t>
      </w:r>
    </w:p>
    <w:p w14:paraId="77877E29" w14:textId="77777777" w:rsidR="0026683B" w:rsidRPr="005B1A55"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w:t>
      </w:r>
      <w:r w:rsidRPr="005B1A55">
        <w:rPr>
          <w:rFonts w:ascii="宋体" w:hAnsi="宋体" w:hint="eastAsia"/>
          <w:sz w:val="24"/>
        </w:rPr>
        <w:t>坚持房子是用来住的、不是用来炒的定位，稳地价、稳房价、稳预期。解决好大城市住房突出问题，通过增加土地供应、安排专项资金、集中建设等办法，切实增加保障性租赁住房和共有产权住房供给，规范发展长租房市场，降低</w:t>
      </w:r>
      <w:r w:rsidRPr="005B1A55">
        <w:rPr>
          <w:rFonts w:ascii="宋体" w:hAnsi="宋体" w:hint="eastAsia"/>
          <w:sz w:val="24"/>
        </w:rPr>
        <w:lastRenderedPageBreak/>
        <w:t>租赁住房税费负担，尽最大努力帮助新市民、青年人等缓解住房困难。</w:t>
      </w:r>
    </w:p>
    <w:p w14:paraId="23FFF1C4"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（5）推进新型城镇化，确立都市圈城市群。优化区域经济布局，促进区域协调发展</w:t>
      </w:r>
      <w:r w:rsidRPr="00B779AF">
        <w:rPr>
          <w:rFonts w:ascii="宋体" w:hAnsi="宋体"/>
          <w:sz w:val="24"/>
        </w:rPr>
        <w:t> </w:t>
      </w:r>
    </w:p>
    <w:p w14:paraId="2CEAC43F" w14:textId="77777777" w:rsidR="0026683B" w:rsidRPr="00B779AF" w:rsidRDefault="0026683B" w:rsidP="0026683B">
      <w:pPr>
        <w:adjustRightInd w:val="0"/>
        <w:snapToGrid w:val="0"/>
        <w:spacing w:line="360" w:lineRule="auto"/>
        <w:ind w:firstLineChars="200" w:firstLine="480"/>
        <w:rPr>
          <w:rFonts w:ascii="宋体" w:hAnsi="宋体"/>
          <w:sz w:val="24"/>
        </w:rPr>
      </w:pPr>
      <w:r w:rsidRPr="00B779AF">
        <w:rPr>
          <w:rFonts w:ascii="宋体" w:hAnsi="宋体" w:hint="eastAsia"/>
          <w:sz w:val="24"/>
        </w:rPr>
        <w:t>（6）地方债务。无法延续。基建能力受限</w:t>
      </w:r>
    </w:p>
    <w:p w14:paraId="457768C6" w14:textId="77777777" w:rsidR="0026683B" w:rsidRDefault="0026683B" w:rsidP="0026683B">
      <w:pPr>
        <w:adjustRightInd w:val="0"/>
        <w:snapToGrid w:val="0"/>
        <w:spacing w:line="360" w:lineRule="auto"/>
        <w:ind w:firstLineChars="200" w:firstLine="480"/>
        <w:rPr>
          <w:rFonts w:ascii="宋体" w:hAnsi="宋体"/>
          <w:sz w:val="24"/>
        </w:rPr>
      </w:pPr>
      <w:r>
        <w:rPr>
          <w:rFonts w:ascii="宋体" w:hAnsi="宋体" w:hint="eastAsia"/>
          <w:sz w:val="24"/>
        </w:rPr>
        <w:t>（7）碳中和、节能环保（绿色建筑、水务环保）与基建</w:t>
      </w:r>
    </w:p>
    <w:p w14:paraId="10FB3D23" w14:textId="77777777" w:rsidR="0026683B" w:rsidRDefault="0026683B" w:rsidP="0026683B">
      <w:pPr>
        <w:adjustRightInd w:val="0"/>
        <w:snapToGrid w:val="0"/>
        <w:spacing w:line="360" w:lineRule="auto"/>
        <w:ind w:firstLineChars="200" w:firstLine="480"/>
        <w:rPr>
          <w:rFonts w:ascii="宋体" w:hAnsi="宋体"/>
          <w:sz w:val="24"/>
        </w:rPr>
      </w:pPr>
      <w:r>
        <w:rPr>
          <w:rFonts w:ascii="宋体" w:hAnsi="宋体" w:hint="eastAsia"/>
          <w:sz w:val="24"/>
        </w:rPr>
        <w:t>（8）老旧小区改造、安居房与基建</w:t>
      </w:r>
    </w:p>
    <w:p w14:paraId="1524D23D" w14:textId="77777777" w:rsidR="002A2DB7" w:rsidRPr="0026683B" w:rsidRDefault="002A2DB7">
      <w:pPr>
        <w:adjustRightInd w:val="0"/>
        <w:snapToGrid w:val="0"/>
        <w:spacing w:line="360" w:lineRule="auto"/>
        <w:ind w:firstLineChars="200" w:firstLine="480"/>
        <w:rPr>
          <w:rFonts w:ascii="宋体" w:hAnsi="宋体" w:hint="eastAsia"/>
          <w:sz w:val="24"/>
        </w:rPr>
      </w:pPr>
    </w:p>
    <w:p w14:paraId="5FAAC01B" w14:textId="410A1353" w:rsidR="00B913AE" w:rsidRPr="00B913AE" w:rsidRDefault="00B913AE" w:rsidP="00B913AE">
      <w:pPr>
        <w:adjustRightInd w:val="0"/>
        <w:snapToGrid w:val="0"/>
        <w:spacing w:line="360" w:lineRule="auto"/>
        <w:ind w:firstLineChars="200" w:firstLine="482"/>
        <w:rPr>
          <w:rFonts w:ascii="宋体" w:hAnsi="宋体"/>
          <w:b/>
          <w:bCs/>
          <w:color w:val="0000FF"/>
          <w:sz w:val="24"/>
        </w:rPr>
      </w:pPr>
      <w:r w:rsidRPr="00B913AE">
        <w:rPr>
          <w:rFonts w:ascii="宋体" w:hAnsi="宋体" w:hint="eastAsia"/>
          <w:b/>
          <w:bCs/>
          <w:color w:val="0000FF"/>
          <w:sz w:val="24"/>
        </w:rPr>
        <w:t>八、新时期</w:t>
      </w:r>
      <w:r w:rsidR="007A3622">
        <w:rPr>
          <w:rFonts w:ascii="宋体" w:hAnsi="宋体" w:hint="eastAsia"/>
          <w:b/>
          <w:bCs/>
          <w:color w:val="0000FF"/>
          <w:sz w:val="24"/>
        </w:rPr>
        <w:t>陕建五局</w:t>
      </w:r>
      <w:r w:rsidRPr="00B913AE">
        <w:rPr>
          <w:rFonts w:ascii="宋体" w:hAnsi="宋体" w:hint="eastAsia"/>
          <w:b/>
          <w:bCs/>
          <w:color w:val="0000FF"/>
          <w:sz w:val="24"/>
        </w:rPr>
        <w:t>的应对</w:t>
      </w:r>
    </w:p>
    <w:p w14:paraId="0892E9DD" w14:textId="41125530" w:rsidR="00C62DC7" w:rsidRDefault="003B5AB1" w:rsidP="00C62DC7">
      <w:pPr>
        <w:adjustRightInd w:val="0"/>
        <w:snapToGrid w:val="0"/>
        <w:spacing w:line="360" w:lineRule="auto"/>
        <w:ind w:firstLineChars="200" w:firstLine="480"/>
        <w:rPr>
          <w:rFonts w:ascii="宋体" w:hAnsi="宋体"/>
          <w:sz w:val="24"/>
        </w:rPr>
      </w:pPr>
      <w:r>
        <w:rPr>
          <w:rFonts w:ascii="宋体" w:hAnsi="宋体"/>
          <w:sz w:val="24"/>
        </w:rPr>
        <w:t>1</w:t>
      </w:r>
      <w:r w:rsidR="00C62DC7">
        <w:rPr>
          <w:rFonts w:ascii="宋体" w:hAnsi="宋体" w:hint="eastAsia"/>
          <w:sz w:val="24"/>
        </w:rPr>
        <w:t>、充分</w:t>
      </w:r>
      <w:r w:rsidR="00C62DC7" w:rsidRPr="00624CBF">
        <w:rPr>
          <w:rFonts w:ascii="宋体" w:hAnsi="宋体" w:hint="eastAsia"/>
          <w:sz w:val="24"/>
        </w:rPr>
        <w:t>利用粤港澳大湾区和</w:t>
      </w:r>
      <w:r w:rsidR="00154A49">
        <w:rPr>
          <w:rFonts w:ascii="宋体" w:hAnsi="宋体" w:hint="eastAsia"/>
          <w:sz w:val="24"/>
        </w:rPr>
        <w:t>关中平原城市群/</w:t>
      </w:r>
      <w:r w:rsidR="00C62DC7" w:rsidRPr="00624CBF">
        <w:rPr>
          <w:rFonts w:ascii="宋体" w:hAnsi="宋体" w:hint="eastAsia"/>
          <w:sz w:val="24"/>
        </w:rPr>
        <w:t>西安都市圈发展战略给建筑企业和房地产企业带</w:t>
      </w:r>
      <w:r w:rsidR="00C62DC7">
        <w:rPr>
          <w:rFonts w:ascii="宋体" w:hAnsi="宋体" w:hint="eastAsia"/>
          <w:sz w:val="24"/>
        </w:rPr>
        <w:t>来的机遇，提升自身业务水平和可持续发展能力，打造百年企业</w:t>
      </w:r>
    </w:p>
    <w:p w14:paraId="2773DD33" w14:textId="77777777" w:rsidR="003B5AB1" w:rsidRDefault="003B5AB1" w:rsidP="003B5AB1">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、跟踪政府规划，紧紧围绕产业政策导向</w:t>
      </w:r>
    </w:p>
    <w:p w14:paraId="22F9AC18" w14:textId="0BD0579C" w:rsidR="003B5AB1" w:rsidRDefault="003B5AB1" w:rsidP="003B5AB1">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、充分利用城市化、城市群战略</w:t>
      </w:r>
      <w:r w:rsidRPr="00624CBF">
        <w:rPr>
          <w:rFonts w:ascii="宋体" w:hAnsi="宋体" w:hint="eastAsia"/>
          <w:sz w:val="24"/>
        </w:rPr>
        <w:t>（特别是粤港澳大湾区和关中</w:t>
      </w:r>
      <w:r w:rsidR="00D96A87">
        <w:rPr>
          <w:rFonts w:ascii="宋体" w:hAnsi="宋体" w:hint="eastAsia"/>
          <w:sz w:val="24"/>
        </w:rPr>
        <w:t>平原</w:t>
      </w:r>
      <w:r w:rsidRPr="00624CBF">
        <w:rPr>
          <w:rFonts w:ascii="宋体" w:hAnsi="宋体" w:hint="eastAsia"/>
          <w:sz w:val="24"/>
        </w:rPr>
        <w:t>城市群</w:t>
      </w:r>
      <w:r w:rsidR="00D96A87">
        <w:rPr>
          <w:rFonts w:ascii="宋体" w:hAnsi="宋体" w:hint="eastAsia"/>
          <w:sz w:val="24"/>
        </w:rPr>
        <w:t>/</w:t>
      </w:r>
      <w:r w:rsidR="009E7A6F" w:rsidRPr="00624CBF">
        <w:rPr>
          <w:rFonts w:ascii="宋体" w:hAnsi="宋体" w:hint="eastAsia"/>
          <w:sz w:val="24"/>
        </w:rPr>
        <w:t>西安都市圈</w:t>
      </w:r>
      <w:r w:rsidRPr="00624CBF">
        <w:rPr>
          <w:rFonts w:ascii="宋体" w:hAnsi="宋体" w:hint="eastAsia"/>
          <w:sz w:val="24"/>
        </w:rPr>
        <w:t>）</w:t>
      </w:r>
      <w:r>
        <w:rPr>
          <w:rFonts w:ascii="宋体" w:hAnsi="宋体" w:hint="eastAsia"/>
          <w:sz w:val="24"/>
        </w:rPr>
        <w:t>给建筑企业和房地产企业带来的机遇，提升自身业务水平和可持续发展能力，打造百年企业</w:t>
      </w:r>
    </w:p>
    <w:p w14:paraId="062C2839" w14:textId="44983FCC"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施工企业必须重新审视粗放式管理引发的问题，增强对施工机械进行精细化管理的意识，将管理方式由线下转变为线上。考虑到机械使用成本一般占项目成本的10%～25%，用好机械、管好机械，可以显著提升项目的社会与经济效益。</w:t>
      </w:r>
    </w:p>
    <w:p w14:paraId="322868B1" w14:textId="28C51EC5" w:rsidR="00CD6B0A" w:rsidRDefault="00B913AE">
      <w:pPr>
        <w:adjustRightInd w:val="0"/>
        <w:snapToGrid w:val="0"/>
        <w:spacing w:line="360" w:lineRule="auto"/>
        <w:ind w:firstLineChars="200" w:firstLine="480"/>
        <w:rPr>
          <w:rFonts w:ascii="宋体" w:hAnsi="宋体"/>
          <w:sz w:val="24"/>
        </w:rPr>
      </w:pPr>
      <w:r>
        <w:rPr>
          <w:rFonts w:ascii="宋体" w:hAnsi="宋体"/>
          <w:sz w:val="24"/>
        </w:rPr>
        <w:t>4</w:t>
      </w:r>
      <w:r w:rsidR="00C567E5">
        <w:rPr>
          <w:rFonts w:ascii="宋体" w:hAnsi="宋体" w:hint="eastAsia"/>
          <w:sz w:val="24"/>
        </w:rPr>
        <w:t>、建筑企业应紧紧抓住PPP的发展机遇，提早介入综合管廊、海绵城市、特色小镇等新兴领域，大力发展装配式建筑，注重BIM技术（建筑信息化模型）的应用，全方位提升内部管理水平。</w:t>
      </w:r>
    </w:p>
    <w:p w14:paraId="53451B7A" w14:textId="197F06D5" w:rsidR="00CD6B0A" w:rsidRDefault="00B913AE">
      <w:pPr>
        <w:adjustRightInd w:val="0"/>
        <w:snapToGrid w:val="0"/>
        <w:spacing w:line="360" w:lineRule="auto"/>
        <w:ind w:firstLineChars="200" w:firstLine="480"/>
        <w:rPr>
          <w:rFonts w:ascii="宋体" w:hAnsi="宋体"/>
          <w:sz w:val="24"/>
        </w:rPr>
      </w:pPr>
      <w:r>
        <w:rPr>
          <w:rFonts w:ascii="宋体" w:hAnsi="宋体"/>
          <w:sz w:val="24"/>
        </w:rPr>
        <w:t>5</w:t>
      </w:r>
      <w:r w:rsidR="00C567E5">
        <w:rPr>
          <w:rFonts w:ascii="宋体" w:hAnsi="宋体" w:hint="eastAsia"/>
          <w:sz w:val="24"/>
        </w:rPr>
        <w:t>、高品质是未来我国建筑业发展的着力点</w:t>
      </w:r>
    </w:p>
    <w:p w14:paraId="1D3BF49C"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——建筑业的高质量发展既要提升产品品质，在房地产领域就是把打造百年住宅、健康住宅纳入房地产高质量发展体系加快推进，又要找准主攻方向加快进行科技创新，解决行业热点难点问题。</w:t>
      </w:r>
    </w:p>
    <w:p w14:paraId="2023BD9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数字化转型衍生机遇，不断提高建筑产业智慧化水平，推动移动互联网、物联网、云计算、大数据与建筑业的深度融合；同时加快BIM(建筑信息模型)技术推广应用；在工程项目规划、勘察、设计、施工、监理、造价等各阶段，推广BIM技术应用，利用云计算、云存储技术和云服务平台，实现建筑全生命周期各</w:t>
      </w:r>
      <w:r>
        <w:rPr>
          <w:rFonts w:ascii="宋体" w:hAnsi="宋体" w:hint="eastAsia"/>
          <w:sz w:val="24"/>
        </w:rPr>
        <w:lastRenderedPageBreak/>
        <w:t>参与方的数据共享和协同合作，为项目方案优化和科学决策提供依据。</w:t>
      </w:r>
    </w:p>
    <w:p w14:paraId="162E320A"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——建筑业的发展方式相对粗放，在高质量发展的大背景之下，建筑业发展的基本方向应该是加快从粗放型向精细化的转变。同时，企业要打造自己的技术品牌，以创新提高技术实力。</w:t>
      </w:r>
    </w:p>
    <w:p w14:paraId="054262B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——从整个行业发展看，建筑行业未来仍有很大的创新发展空间。</w:t>
      </w:r>
    </w:p>
    <w:p w14:paraId="5ED26325" w14:textId="5F06AA7B" w:rsidR="00CD6B0A" w:rsidRDefault="00B913AE">
      <w:pPr>
        <w:adjustRightInd w:val="0"/>
        <w:snapToGrid w:val="0"/>
        <w:spacing w:line="360" w:lineRule="auto"/>
        <w:ind w:firstLineChars="200" w:firstLine="480"/>
        <w:rPr>
          <w:rFonts w:ascii="宋体" w:hAnsi="宋体"/>
          <w:sz w:val="24"/>
        </w:rPr>
      </w:pPr>
      <w:r>
        <w:rPr>
          <w:rFonts w:ascii="宋体" w:hAnsi="宋体"/>
          <w:sz w:val="24"/>
        </w:rPr>
        <w:t>6</w:t>
      </w:r>
      <w:r w:rsidR="00C567E5">
        <w:rPr>
          <w:rFonts w:ascii="宋体" w:hAnsi="宋体" w:hint="eastAsia"/>
          <w:sz w:val="24"/>
        </w:rPr>
        <w:t>、危机中彰显装配式建筑的优势，大力发展装配式建筑</w:t>
      </w:r>
    </w:p>
    <w:p w14:paraId="483259A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——对比传统建筑，装配式在施工建设速度和应急能力方面具有无可比拟的优势，能提供安全、优质、绿色、环保的产品，实现建筑的高质量高品质。</w:t>
      </w:r>
    </w:p>
    <w:p w14:paraId="4EA66C5B"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发挥装配式建筑集成设计的优势。集成设计的理念并不能简单地理解为“各专业技术的集成”，而是产品建造全周期、全专业的集成解决方案，从产品的制造端、使用端、运维端逆向指导设计思维。真正从需求出发，拿出最合理的解决方式。</w:t>
      </w:r>
    </w:p>
    <w:p w14:paraId="6197AF3B" w14:textId="79D7123C"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——装配式建筑的发展也将带动产业工人转型。近年来，国家大力推进工程总承包和建筑产业工人队伍的建设。</w:t>
      </w:r>
    </w:p>
    <w:p w14:paraId="07C27130" w14:textId="28B03287" w:rsidR="00C62DC7" w:rsidRPr="00C62DC7" w:rsidRDefault="003B5AB1" w:rsidP="00C62DC7">
      <w:pPr>
        <w:adjustRightInd w:val="0"/>
        <w:snapToGrid w:val="0"/>
        <w:spacing w:line="360" w:lineRule="auto"/>
        <w:ind w:firstLineChars="200" w:firstLine="480"/>
        <w:rPr>
          <w:rFonts w:ascii="宋体" w:hAnsi="宋体"/>
          <w:sz w:val="24"/>
        </w:rPr>
      </w:pPr>
      <w:r w:rsidRPr="003B5AB1">
        <w:rPr>
          <w:rFonts w:ascii="宋体" w:hAnsi="宋体"/>
          <w:sz w:val="24"/>
        </w:rPr>
        <w:t>7</w:t>
      </w:r>
      <w:r w:rsidR="00C62DC7" w:rsidRPr="003B5AB1">
        <w:rPr>
          <w:rFonts w:ascii="宋体" w:hAnsi="宋体" w:hint="eastAsia"/>
          <w:sz w:val="24"/>
        </w:rPr>
        <w:t>、</w:t>
      </w:r>
      <w:r w:rsidR="00C62DC7" w:rsidRPr="00C62DC7">
        <w:rPr>
          <w:rFonts w:ascii="宋体" w:hAnsi="宋体" w:hint="eastAsia"/>
          <w:sz w:val="24"/>
        </w:rPr>
        <w:t>开拓基建和“新基建”新业务</w:t>
      </w:r>
    </w:p>
    <w:p w14:paraId="52DC29DC" w14:textId="76071B59" w:rsidR="00C62DC7" w:rsidRPr="00C62DC7" w:rsidRDefault="00C62DC7" w:rsidP="00C62DC7">
      <w:pPr>
        <w:adjustRightInd w:val="0"/>
        <w:snapToGrid w:val="0"/>
        <w:spacing w:line="360" w:lineRule="auto"/>
        <w:ind w:firstLineChars="200" w:firstLine="480"/>
        <w:rPr>
          <w:rFonts w:ascii="宋体" w:hAnsi="宋体"/>
          <w:sz w:val="24"/>
        </w:rPr>
      </w:pPr>
      <w:r w:rsidRPr="003B5AB1">
        <w:rPr>
          <w:rFonts w:ascii="宋体" w:hAnsi="宋体" w:hint="eastAsia"/>
          <w:sz w:val="24"/>
        </w:rPr>
        <w:t>——</w:t>
      </w:r>
      <w:r w:rsidRPr="00C62DC7">
        <w:rPr>
          <w:rFonts w:ascii="宋体" w:hAnsi="宋体" w:hint="eastAsia"/>
          <w:sz w:val="24"/>
        </w:rPr>
        <w:t>顺应中国经济双循环战略和新发展格局，建工行业/企业创新性参与，积极促进企业基建和“新基建”业务创新。</w:t>
      </w:r>
    </w:p>
    <w:p w14:paraId="497CF895" w14:textId="77777777" w:rsidR="00C62DC7" w:rsidRPr="00C62DC7" w:rsidRDefault="00C62DC7" w:rsidP="00C62DC7">
      <w:pPr>
        <w:adjustRightInd w:val="0"/>
        <w:snapToGrid w:val="0"/>
        <w:spacing w:line="360" w:lineRule="auto"/>
        <w:ind w:firstLineChars="200" w:firstLine="480"/>
        <w:rPr>
          <w:rFonts w:ascii="宋体" w:hAnsi="宋体"/>
          <w:sz w:val="24"/>
        </w:rPr>
      </w:pPr>
      <w:r w:rsidRPr="00C62DC7">
        <w:rPr>
          <w:rFonts w:ascii="宋体" w:hAnsi="宋体" w:hint="eastAsia"/>
          <w:sz w:val="24"/>
        </w:rPr>
        <w:t>——新基建7大领域所在行业/企业的机会</w:t>
      </w:r>
    </w:p>
    <w:p w14:paraId="5A59442B" w14:textId="77777777" w:rsidR="00C62DC7" w:rsidRPr="00C62DC7" w:rsidRDefault="00C62DC7" w:rsidP="00C62DC7">
      <w:pPr>
        <w:adjustRightInd w:val="0"/>
        <w:snapToGrid w:val="0"/>
        <w:spacing w:line="360" w:lineRule="auto"/>
        <w:ind w:firstLineChars="200" w:firstLine="480"/>
        <w:rPr>
          <w:rFonts w:ascii="宋体" w:hAnsi="宋体"/>
          <w:sz w:val="24"/>
        </w:rPr>
      </w:pPr>
      <w:r w:rsidRPr="00C62DC7">
        <w:rPr>
          <w:rFonts w:ascii="宋体" w:hAnsi="宋体" w:hint="eastAsia"/>
          <w:sz w:val="24"/>
        </w:rPr>
        <w:t>——从新基建七大领域中，发现新业务</w:t>
      </w:r>
    </w:p>
    <w:p w14:paraId="2D990FDF" w14:textId="77777777" w:rsidR="00C62DC7" w:rsidRPr="00C62DC7" w:rsidRDefault="00C62DC7" w:rsidP="00C62DC7">
      <w:pPr>
        <w:adjustRightInd w:val="0"/>
        <w:snapToGrid w:val="0"/>
        <w:spacing w:line="360" w:lineRule="auto"/>
        <w:ind w:firstLineChars="200" w:firstLine="480"/>
        <w:rPr>
          <w:rFonts w:ascii="宋体" w:hAnsi="宋体"/>
          <w:sz w:val="24"/>
        </w:rPr>
      </w:pPr>
      <w:r w:rsidRPr="00C62DC7">
        <w:rPr>
          <w:rFonts w:ascii="宋体" w:hAnsi="宋体" w:hint="eastAsia"/>
          <w:sz w:val="24"/>
        </w:rPr>
        <w:t>——开拓新业务：水务环保</w:t>
      </w:r>
    </w:p>
    <w:p w14:paraId="6402A737" w14:textId="77777777" w:rsidR="00C62DC7" w:rsidRPr="00C62DC7" w:rsidRDefault="00C62DC7" w:rsidP="00C62DC7">
      <w:pPr>
        <w:adjustRightInd w:val="0"/>
        <w:snapToGrid w:val="0"/>
        <w:spacing w:line="360" w:lineRule="auto"/>
        <w:ind w:firstLineChars="200" w:firstLine="480"/>
        <w:rPr>
          <w:rFonts w:ascii="宋体" w:hAnsi="宋体"/>
          <w:sz w:val="24"/>
        </w:rPr>
      </w:pPr>
      <w:r w:rsidRPr="00C62DC7">
        <w:rPr>
          <w:rFonts w:ascii="宋体" w:hAnsi="宋体" w:hint="eastAsia"/>
          <w:sz w:val="24"/>
        </w:rPr>
        <w:t>——开拓新业务：管廊建设</w:t>
      </w:r>
    </w:p>
    <w:p w14:paraId="54D5D494" w14:textId="77777777" w:rsidR="00C62DC7" w:rsidRPr="00C62DC7" w:rsidRDefault="00C62DC7" w:rsidP="00C62DC7">
      <w:pPr>
        <w:adjustRightInd w:val="0"/>
        <w:snapToGrid w:val="0"/>
        <w:spacing w:line="360" w:lineRule="auto"/>
        <w:ind w:firstLineChars="200" w:firstLine="480"/>
        <w:rPr>
          <w:rFonts w:ascii="宋体" w:hAnsi="宋体"/>
          <w:sz w:val="24"/>
        </w:rPr>
      </w:pPr>
      <w:r w:rsidRPr="00C62DC7">
        <w:rPr>
          <w:rFonts w:ascii="宋体" w:hAnsi="宋体" w:hint="eastAsia"/>
          <w:sz w:val="24"/>
        </w:rPr>
        <w:t>——其他机会……</w:t>
      </w:r>
    </w:p>
    <w:p w14:paraId="132A51EA" w14:textId="5B44F3A6" w:rsidR="00CD6B0A" w:rsidRDefault="003B5AB1">
      <w:pPr>
        <w:adjustRightInd w:val="0"/>
        <w:snapToGrid w:val="0"/>
        <w:spacing w:line="360" w:lineRule="auto"/>
        <w:ind w:firstLineChars="200" w:firstLine="480"/>
        <w:rPr>
          <w:rFonts w:ascii="宋体" w:hAnsi="宋体"/>
          <w:sz w:val="24"/>
        </w:rPr>
      </w:pPr>
      <w:r>
        <w:rPr>
          <w:rFonts w:ascii="宋体" w:hAnsi="宋体"/>
          <w:sz w:val="24"/>
        </w:rPr>
        <w:t>8</w:t>
      </w:r>
      <w:r w:rsidR="00C567E5">
        <w:rPr>
          <w:rFonts w:ascii="宋体" w:hAnsi="宋体" w:hint="eastAsia"/>
          <w:sz w:val="24"/>
        </w:rPr>
        <w:t>、</w:t>
      </w:r>
      <w:r>
        <w:rPr>
          <w:rFonts w:ascii="宋体" w:hAnsi="宋体" w:hint="eastAsia"/>
          <w:sz w:val="24"/>
        </w:rPr>
        <w:t>充分利用</w:t>
      </w:r>
      <w:r w:rsidR="00671BEC">
        <w:rPr>
          <w:rFonts w:ascii="宋体" w:hAnsi="宋体" w:hint="eastAsia"/>
          <w:sz w:val="24"/>
        </w:rPr>
        <w:t>陕建五局</w:t>
      </w:r>
      <w:r w:rsidR="00C567E5">
        <w:rPr>
          <w:rFonts w:ascii="宋体" w:hAnsi="宋体" w:hint="eastAsia"/>
          <w:sz w:val="24"/>
        </w:rPr>
        <w:t>工程总承包、工程建设全过程咨询企业</w:t>
      </w:r>
      <w:r>
        <w:rPr>
          <w:rFonts w:ascii="宋体" w:hAnsi="宋体" w:hint="eastAsia"/>
          <w:sz w:val="24"/>
        </w:rPr>
        <w:t>的资质</w:t>
      </w:r>
    </w:p>
    <w:p w14:paraId="59952B90"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2019年，住建部印发《关于推进全过程工程咨询服务发展的指导意见》《房屋建筑和市政基础设施工程总承包管理办法（征求意见稿）》等，加快培育和发展工程总承包、工程建设全过程咨询企业。当前，培育工程总承包、全过程工程咨询企业，发展专业作业企业已成为重要趋势，国家鼓励工程总承包或专业承包企业拥有一定数量的自有技术工人，壮大建筑产业工人队伍，进一步细化行业分工，推动建筑业高质量发展。</w:t>
      </w:r>
    </w:p>
    <w:p w14:paraId="4AB51DEF" w14:textId="597D9F07" w:rsidR="00CD6B0A" w:rsidRDefault="003B5AB1">
      <w:pPr>
        <w:adjustRightInd w:val="0"/>
        <w:snapToGrid w:val="0"/>
        <w:spacing w:line="360" w:lineRule="auto"/>
        <w:ind w:firstLineChars="200" w:firstLine="480"/>
        <w:rPr>
          <w:rFonts w:ascii="宋体" w:hAnsi="宋体"/>
          <w:sz w:val="24"/>
        </w:rPr>
      </w:pPr>
      <w:r>
        <w:rPr>
          <w:rFonts w:ascii="宋体" w:hAnsi="宋体"/>
          <w:sz w:val="24"/>
        </w:rPr>
        <w:t>9</w:t>
      </w:r>
      <w:r w:rsidR="00C567E5">
        <w:rPr>
          <w:rFonts w:ascii="宋体" w:hAnsi="宋体" w:hint="eastAsia"/>
          <w:sz w:val="24"/>
        </w:rPr>
        <w:t>、新形势下建筑企业</w:t>
      </w:r>
      <w:r w:rsidR="00B913AE">
        <w:rPr>
          <w:rFonts w:ascii="宋体" w:hAnsi="宋体" w:hint="eastAsia"/>
          <w:sz w:val="24"/>
        </w:rPr>
        <w:t>创新</w:t>
      </w:r>
      <w:r w:rsidR="00C567E5">
        <w:rPr>
          <w:rFonts w:ascii="宋体" w:hAnsi="宋体" w:hint="eastAsia"/>
          <w:sz w:val="24"/>
        </w:rPr>
        <w:t>融资</w:t>
      </w:r>
    </w:p>
    <w:p w14:paraId="214A45DF"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lastRenderedPageBreak/>
        <w:t>——建筑企业融资方法九大招</w:t>
      </w:r>
    </w:p>
    <w:p w14:paraId="39675301"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——新形势下建筑企业新融资模式</w:t>
      </w:r>
    </w:p>
    <w:p w14:paraId="4BE822C8" w14:textId="77777777" w:rsidR="00CD6B0A" w:rsidRDefault="00C567E5">
      <w:pPr>
        <w:adjustRightInd w:val="0"/>
        <w:snapToGrid w:val="0"/>
        <w:spacing w:line="360" w:lineRule="auto"/>
        <w:ind w:firstLineChars="200" w:firstLine="480"/>
        <w:rPr>
          <w:rFonts w:ascii="宋体" w:hAnsi="宋体"/>
          <w:sz w:val="24"/>
        </w:rPr>
      </w:pPr>
      <w:r>
        <w:rPr>
          <w:rFonts w:ascii="宋体" w:hAnsi="宋体" w:hint="eastAsia"/>
          <w:sz w:val="24"/>
        </w:rPr>
        <w:t>——发行绿色债券</w:t>
      </w:r>
    </w:p>
    <w:p w14:paraId="33E7E3C5" w14:textId="188BCA0E" w:rsidR="00924C45" w:rsidRDefault="003B5AB1" w:rsidP="00924C45">
      <w:pPr>
        <w:adjustRightInd w:val="0"/>
        <w:snapToGrid w:val="0"/>
        <w:spacing w:line="360" w:lineRule="auto"/>
        <w:ind w:firstLineChars="200" w:firstLine="480"/>
        <w:rPr>
          <w:rFonts w:ascii="宋体" w:hAnsi="宋体"/>
          <w:sz w:val="24"/>
        </w:rPr>
      </w:pPr>
      <w:r>
        <w:rPr>
          <w:rFonts w:ascii="宋体" w:hAnsi="宋体"/>
          <w:sz w:val="24"/>
        </w:rPr>
        <w:t>10</w:t>
      </w:r>
      <w:r w:rsidR="00924C45">
        <w:rPr>
          <w:rFonts w:ascii="宋体" w:hAnsi="宋体" w:hint="eastAsia"/>
          <w:sz w:val="24"/>
        </w:rPr>
        <w:t>、做好自己的事情</w:t>
      </w:r>
    </w:p>
    <w:p w14:paraId="6219C1B9" w14:textId="7D25EB79" w:rsidR="00924C45" w:rsidRDefault="00924C45" w:rsidP="00924C45">
      <w:pPr>
        <w:adjustRightInd w:val="0"/>
        <w:snapToGrid w:val="0"/>
        <w:spacing w:line="360" w:lineRule="auto"/>
        <w:ind w:firstLineChars="200" w:firstLine="480"/>
        <w:rPr>
          <w:rFonts w:ascii="宋体" w:hAnsi="宋体"/>
          <w:sz w:val="24"/>
        </w:rPr>
      </w:pPr>
      <w:r>
        <w:rPr>
          <w:rFonts w:ascii="宋体" w:hAnsi="宋体" w:hint="eastAsia"/>
          <w:sz w:val="24"/>
        </w:rPr>
        <w:t>——做好产品，造好房子</w:t>
      </w:r>
    </w:p>
    <w:p w14:paraId="2B84AA21" w14:textId="3AEFB823" w:rsidR="003B5AB1" w:rsidRDefault="003B5AB1" w:rsidP="003B5AB1">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施工企业降本增效</w:t>
      </w:r>
    </w:p>
    <w:p w14:paraId="1129C926" w14:textId="5B5FA6BA" w:rsidR="00924C45" w:rsidRDefault="00924C45" w:rsidP="00924C45">
      <w:pPr>
        <w:adjustRightInd w:val="0"/>
        <w:snapToGrid w:val="0"/>
        <w:spacing w:line="360" w:lineRule="auto"/>
        <w:ind w:firstLineChars="200" w:firstLine="480"/>
        <w:rPr>
          <w:rFonts w:ascii="宋体" w:hAnsi="宋体"/>
          <w:sz w:val="24"/>
        </w:rPr>
      </w:pPr>
      <w:r>
        <w:rPr>
          <w:rFonts w:ascii="宋体" w:hAnsi="宋体" w:hint="eastAsia"/>
          <w:sz w:val="24"/>
        </w:rPr>
        <w:t>——未雨绸缪。系好安全带</w:t>
      </w:r>
    </w:p>
    <w:p w14:paraId="3C411F15" w14:textId="5D3873E5" w:rsidR="003B5AB1" w:rsidRPr="00C62DC7"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w:t>
      </w:r>
      <w:r w:rsidRPr="00C62DC7">
        <w:rPr>
          <w:rFonts w:ascii="宋体" w:hAnsi="宋体" w:hint="eastAsia"/>
          <w:sz w:val="24"/>
        </w:rPr>
        <w:t>加强人才队伍建设，保障基建和“新基建”业务的推进</w:t>
      </w:r>
    </w:p>
    <w:p w14:paraId="7A8DB4AA" w14:textId="75E38958" w:rsidR="00D32666" w:rsidRPr="003B5AB1" w:rsidRDefault="003B5AB1" w:rsidP="003B5AB1">
      <w:pPr>
        <w:adjustRightInd w:val="0"/>
        <w:snapToGrid w:val="0"/>
        <w:spacing w:line="360" w:lineRule="auto"/>
        <w:ind w:firstLineChars="200" w:firstLine="480"/>
        <w:rPr>
          <w:rFonts w:ascii="宋体" w:hAnsi="宋体"/>
          <w:sz w:val="24"/>
        </w:rPr>
      </w:pPr>
      <w:bookmarkStart w:id="0" w:name="_Hlk46178630"/>
      <w:r w:rsidRPr="003B5AB1">
        <w:rPr>
          <w:rFonts w:ascii="宋体" w:hAnsi="宋体" w:hint="eastAsia"/>
          <w:sz w:val="24"/>
        </w:rPr>
        <w:t>1</w:t>
      </w:r>
      <w:r w:rsidRPr="003B5AB1">
        <w:rPr>
          <w:rFonts w:ascii="宋体" w:hAnsi="宋体"/>
          <w:sz w:val="24"/>
        </w:rPr>
        <w:t>1</w:t>
      </w:r>
      <w:r w:rsidRPr="003B5AB1">
        <w:rPr>
          <w:rFonts w:ascii="宋体" w:hAnsi="宋体" w:hint="eastAsia"/>
          <w:sz w:val="24"/>
        </w:rPr>
        <w:t>、</w:t>
      </w:r>
      <w:r w:rsidR="00D32666" w:rsidRPr="003B5AB1">
        <w:rPr>
          <w:rFonts w:ascii="宋体" w:hAnsi="宋体" w:hint="eastAsia"/>
          <w:sz w:val="24"/>
        </w:rPr>
        <w:t>夯实实力，主动求变：对</w:t>
      </w:r>
      <w:r w:rsidR="009C6BE8">
        <w:rPr>
          <w:rFonts w:ascii="宋体" w:hAnsi="宋体" w:hint="eastAsia"/>
          <w:sz w:val="24"/>
        </w:rPr>
        <w:t>陕建五局</w:t>
      </w:r>
      <w:r w:rsidR="00D32666" w:rsidRPr="003B5AB1">
        <w:rPr>
          <w:rFonts w:ascii="宋体" w:hAnsi="宋体" w:hint="eastAsia"/>
          <w:sz w:val="24"/>
        </w:rPr>
        <w:t>管理者做好企业业务创新和转型升级的几点建议</w:t>
      </w:r>
    </w:p>
    <w:bookmarkEnd w:id="0"/>
    <w:p w14:paraId="2958CBFB" w14:textId="1067CD43"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（1）</w:t>
      </w:r>
      <w:r w:rsidR="00D32666" w:rsidRPr="003B5AB1">
        <w:rPr>
          <w:rFonts w:ascii="宋体" w:hAnsi="宋体" w:hint="eastAsia"/>
          <w:sz w:val="24"/>
        </w:rPr>
        <w:t>有所为，有所不为，有所作为</w:t>
      </w:r>
    </w:p>
    <w:p w14:paraId="4E961727" w14:textId="2541D936"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（2）</w:t>
      </w:r>
      <w:r w:rsidR="00D32666" w:rsidRPr="003B5AB1">
        <w:rPr>
          <w:rFonts w:ascii="宋体" w:hAnsi="宋体" w:hint="eastAsia"/>
          <w:sz w:val="24"/>
        </w:rPr>
        <w:t>要做到：安心、静心、信心</w:t>
      </w:r>
    </w:p>
    <w:p w14:paraId="6F030B22" w14:textId="5E675B4E"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（3）</w:t>
      </w:r>
      <w:r w:rsidR="00D32666" w:rsidRPr="003B5AB1">
        <w:rPr>
          <w:rFonts w:ascii="宋体" w:hAnsi="宋体" w:hint="eastAsia"/>
          <w:sz w:val="24"/>
        </w:rPr>
        <w:t>精准识变、科学应变、主动求变</w:t>
      </w:r>
    </w:p>
    <w:p w14:paraId="62CEFAA1"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——国企改革</w:t>
      </w:r>
    </w:p>
    <w:p w14:paraId="3971E641"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——合规经营（中兴事件后，重要国企都设立了合规专员）</w:t>
      </w:r>
    </w:p>
    <w:p w14:paraId="619B1770" w14:textId="758EDEE8"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w:t>
      </w:r>
      <w:r w:rsidRPr="003B5AB1">
        <w:rPr>
          <w:rFonts w:ascii="宋体" w:hAnsi="宋体"/>
          <w:sz w:val="24"/>
        </w:rPr>
        <w:t>4</w:t>
      </w:r>
      <w:r w:rsidRPr="003B5AB1">
        <w:rPr>
          <w:rFonts w:ascii="宋体" w:hAnsi="宋体" w:hint="eastAsia"/>
          <w:sz w:val="24"/>
        </w:rPr>
        <w:t>）</w:t>
      </w:r>
      <w:r w:rsidR="00D32666" w:rsidRPr="003B5AB1">
        <w:rPr>
          <w:rFonts w:ascii="宋体" w:hAnsi="宋体" w:hint="eastAsia"/>
          <w:sz w:val="24"/>
        </w:rPr>
        <w:t>再审视、再谋划、再提升</w:t>
      </w:r>
    </w:p>
    <w:p w14:paraId="15DF1D00"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——深耕细作、比拼内功</w:t>
      </w:r>
    </w:p>
    <w:p w14:paraId="2B683F66"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——技术突破</w:t>
      </w:r>
    </w:p>
    <w:p w14:paraId="595500F2"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——培养自身的卓越运营能力，以管理风险和不确定性</w:t>
      </w:r>
    </w:p>
    <w:p w14:paraId="2D123C66" w14:textId="77777777" w:rsidR="00D32666" w:rsidRPr="003B5AB1" w:rsidRDefault="00D32666"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——打造敏捷灵活的业务版图</w:t>
      </w:r>
    </w:p>
    <w:p w14:paraId="2FA3F1E4" w14:textId="5C3F1B64"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（5）</w:t>
      </w:r>
      <w:r w:rsidR="00D32666" w:rsidRPr="003B5AB1">
        <w:rPr>
          <w:rFonts w:ascii="宋体" w:hAnsi="宋体"/>
          <w:sz w:val="24"/>
        </w:rPr>
        <w:t>积极应对压力，抓好两个效益</w:t>
      </w:r>
      <w:r w:rsidR="00D32666" w:rsidRPr="003B5AB1">
        <w:rPr>
          <w:rFonts w:ascii="宋体" w:hAnsi="宋体" w:hint="eastAsia"/>
          <w:sz w:val="24"/>
        </w:rPr>
        <w:t>，担负四个责任</w:t>
      </w:r>
    </w:p>
    <w:p w14:paraId="3F8393B1" w14:textId="2A61CD8A" w:rsidR="00D32666" w:rsidRPr="003B5AB1" w:rsidRDefault="003B5AB1" w:rsidP="003B5AB1">
      <w:pPr>
        <w:adjustRightInd w:val="0"/>
        <w:snapToGrid w:val="0"/>
        <w:spacing w:line="360" w:lineRule="auto"/>
        <w:ind w:firstLineChars="200" w:firstLine="480"/>
        <w:rPr>
          <w:rFonts w:ascii="宋体" w:hAnsi="宋体"/>
          <w:sz w:val="24"/>
        </w:rPr>
      </w:pPr>
      <w:r w:rsidRPr="003B5AB1">
        <w:rPr>
          <w:rFonts w:ascii="宋体" w:hAnsi="宋体" w:hint="eastAsia"/>
          <w:sz w:val="24"/>
        </w:rPr>
        <w:t>（6）</w:t>
      </w:r>
      <w:r w:rsidR="00D32666" w:rsidRPr="003B5AB1">
        <w:rPr>
          <w:rFonts w:ascii="宋体" w:hAnsi="宋体" w:hint="eastAsia"/>
          <w:sz w:val="24"/>
        </w:rPr>
        <w:t>加强人才队伍</w:t>
      </w:r>
      <w:r w:rsidR="00D32666" w:rsidRPr="003B5AB1">
        <w:rPr>
          <w:rFonts w:ascii="宋体" w:hAnsi="宋体"/>
          <w:sz w:val="24"/>
        </w:rPr>
        <w:t>建设</w:t>
      </w:r>
      <w:r w:rsidR="00D32666" w:rsidRPr="003B5AB1">
        <w:rPr>
          <w:rFonts w:ascii="宋体" w:hAnsi="宋体" w:hint="eastAsia"/>
          <w:sz w:val="24"/>
        </w:rPr>
        <w:t>，保障企业业务创新和转型升级</w:t>
      </w:r>
    </w:p>
    <w:p w14:paraId="2D9E5127" w14:textId="77777777" w:rsidR="00CD6B0A" w:rsidRPr="00D32666" w:rsidRDefault="00CD6B0A">
      <w:pPr>
        <w:adjustRightInd w:val="0"/>
        <w:snapToGrid w:val="0"/>
        <w:spacing w:line="360" w:lineRule="auto"/>
        <w:ind w:firstLineChars="200" w:firstLine="480"/>
        <w:rPr>
          <w:rFonts w:ascii="宋体" w:hAnsi="宋体"/>
          <w:sz w:val="24"/>
        </w:rPr>
      </w:pPr>
    </w:p>
    <w:p w14:paraId="2D9C23A7" w14:textId="77777777" w:rsidR="00CD6B0A" w:rsidRDefault="00C567E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长风破浪会有时，直挂云帆济沧海！</w:t>
      </w:r>
    </w:p>
    <w:p w14:paraId="5A109961" w14:textId="77777777" w:rsidR="00CD6B0A" w:rsidRDefault="00C567E5">
      <w:pPr>
        <w:adjustRightInd w:val="0"/>
        <w:snapToGrid w:val="0"/>
        <w:spacing w:line="360" w:lineRule="auto"/>
        <w:ind w:firstLineChars="200" w:firstLine="482"/>
      </w:pPr>
      <w:r>
        <w:rPr>
          <w:rFonts w:ascii="宋体" w:hAnsi="宋体" w:hint="eastAsia"/>
          <w:b/>
          <w:bCs/>
          <w:color w:val="0000FF"/>
          <w:sz w:val="24"/>
        </w:rPr>
        <w:t>祝大家事业顺利，身体健康！</w:t>
      </w:r>
    </w:p>
    <w:sectPr w:rsidR="00CD6B0A">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98EA93" w14:textId="77777777" w:rsidR="00E028FD" w:rsidRDefault="00E028FD">
      <w:r>
        <w:separator/>
      </w:r>
    </w:p>
  </w:endnote>
  <w:endnote w:type="continuationSeparator" w:id="0">
    <w:p w14:paraId="0DA9F05F" w14:textId="77777777" w:rsidR="00E028FD" w:rsidRDefault="00E02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74AD1" w14:textId="77777777" w:rsidR="00CD6B0A" w:rsidRDefault="00C567E5">
    <w:pPr>
      <w:pStyle w:val="a3"/>
    </w:pPr>
    <w:r>
      <w:rPr>
        <w:noProof/>
      </w:rPr>
      <mc:AlternateContent>
        <mc:Choice Requires="wps">
          <w:drawing>
            <wp:anchor distT="0" distB="0" distL="114300" distR="114300" simplePos="0" relativeHeight="251658240" behindDoc="0" locked="0" layoutInCell="1" allowOverlap="1" wp14:anchorId="2EDACD5B" wp14:editId="1B04F41A">
              <wp:simplePos x="0" y="0"/>
              <wp:positionH relativeFrom="margin">
                <wp:align>center</wp:align>
              </wp:positionH>
              <wp:positionV relativeFrom="paragraph">
                <wp:posOffset>0</wp:posOffset>
              </wp:positionV>
              <wp:extent cx="64770"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770" cy="146050"/>
                      </a:xfrm>
                      <a:prstGeom prst="rect">
                        <a:avLst/>
                      </a:prstGeom>
                      <a:noFill/>
                      <a:ln w="6350">
                        <a:noFill/>
                      </a:ln>
                      <a:effectLst/>
                    </wps:spPr>
                    <wps:txbx>
                      <w:txbxContent>
                        <w:p w14:paraId="28154D55" w14:textId="77777777" w:rsidR="00CD6B0A" w:rsidRDefault="00C567E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D489D">
                            <w:rPr>
                              <w:noProof/>
                              <w:sz w:val="18"/>
                            </w:rPr>
                            <w:t>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EDACD5B" id="_x0000_t202" coordsize="21600,21600" o:spt="202" path="m,l,21600r21600,l21600,xe">
              <v:stroke joinstyle="miter"/>
              <v:path gradientshapeok="t" o:connecttype="rect"/>
            </v:shapetype>
            <v:shape id="文本框 1" o:spid="_x0000_s1026" type="#_x0000_t202" style="position:absolute;margin-left:0;margin-top:0;width:5.1pt;height:11.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" filled="f" stroked="f" strokeweight=".5pt">
              <v:textbox style="mso-fit-shape-to-text:t" inset="0,0,0,0">
                <w:txbxContent>
                  <w:p w14:paraId="28154D55" w14:textId="77777777" w:rsidR="00CD6B0A" w:rsidRDefault="00C567E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D489D">
                      <w:rPr>
                        <w:noProof/>
                        <w:sz w:val="18"/>
                      </w:rPr>
                      <w:t>4</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81D835" w14:textId="77777777" w:rsidR="00E028FD" w:rsidRDefault="00E028FD">
      <w:r>
        <w:separator/>
      </w:r>
    </w:p>
  </w:footnote>
  <w:footnote w:type="continuationSeparator" w:id="0">
    <w:p w14:paraId="56B594BB" w14:textId="77777777" w:rsidR="00E028FD" w:rsidRDefault="00E028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D822AAE"/>
    <w:rsid w:val="000B5178"/>
    <w:rsid w:val="000D043D"/>
    <w:rsid w:val="000E3CE2"/>
    <w:rsid w:val="001400FF"/>
    <w:rsid w:val="00154A49"/>
    <w:rsid w:val="00163EAA"/>
    <w:rsid w:val="001654B4"/>
    <w:rsid w:val="001A496A"/>
    <w:rsid w:val="001D596F"/>
    <w:rsid w:val="001D6322"/>
    <w:rsid w:val="001F1BDE"/>
    <w:rsid w:val="001F2019"/>
    <w:rsid w:val="002106B2"/>
    <w:rsid w:val="00210DB4"/>
    <w:rsid w:val="00213CBE"/>
    <w:rsid w:val="002277D0"/>
    <w:rsid w:val="0026683B"/>
    <w:rsid w:val="002726D9"/>
    <w:rsid w:val="002A2DB7"/>
    <w:rsid w:val="002A475C"/>
    <w:rsid w:val="002B6256"/>
    <w:rsid w:val="002E1D35"/>
    <w:rsid w:val="003A43FA"/>
    <w:rsid w:val="003B14CA"/>
    <w:rsid w:val="003B5AB1"/>
    <w:rsid w:val="003F391C"/>
    <w:rsid w:val="00405802"/>
    <w:rsid w:val="0041237D"/>
    <w:rsid w:val="004836F5"/>
    <w:rsid w:val="004871AB"/>
    <w:rsid w:val="004A2E34"/>
    <w:rsid w:val="004A3F39"/>
    <w:rsid w:val="004A44CB"/>
    <w:rsid w:val="004C5FB3"/>
    <w:rsid w:val="00526C2C"/>
    <w:rsid w:val="00532F58"/>
    <w:rsid w:val="00560024"/>
    <w:rsid w:val="00560076"/>
    <w:rsid w:val="0056227C"/>
    <w:rsid w:val="005A652F"/>
    <w:rsid w:val="005B0F88"/>
    <w:rsid w:val="005B1A55"/>
    <w:rsid w:val="005B7B0F"/>
    <w:rsid w:val="005C4743"/>
    <w:rsid w:val="005D7FA4"/>
    <w:rsid w:val="00623FC5"/>
    <w:rsid w:val="00624CBF"/>
    <w:rsid w:val="006300E6"/>
    <w:rsid w:val="006637D8"/>
    <w:rsid w:val="006707C9"/>
    <w:rsid w:val="00671BEC"/>
    <w:rsid w:val="0068050C"/>
    <w:rsid w:val="00692945"/>
    <w:rsid w:val="00692FEC"/>
    <w:rsid w:val="00695824"/>
    <w:rsid w:val="006D489D"/>
    <w:rsid w:val="00721AAA"/>
    <w:rsid w:val="00757D5A"/>
    <w:rsid w:val="00784DED"/>
    <w:rsid w:val="007A1B9C"/>
    <w:rsid w:val="007A2609"/>
    <w:rsid w:val="007A3622"/>
    <w:rsid w:val="007D255B"/>
    <w:rsid w:val="007F13A8"/>
    <w:rsid w:val="00801A60"/>
    <w:rsid w:val="008034F1"/>
    <w:rsid w:val="00870CD5"/>
    <w:rsid w:val="008904A6"/>
    <w:rsid w:val="008B6A20"/>
    <w:rsid w:val="008B7008"/>
    <w:rsid w:val="008C249C"/>
    <w:rsid w:val="009115FD"/>
    <w:rsid w:val="009222AD"/>
    <w:rsid w:val="00924C45"/>
    <w:rsid w:val="0092529C"/>
    <w:rsid w:val="00972188"/>
    <w:rsid w:val="00975A9D"/>
    <w:rsid w:val="00985779"/>
    <w:rsid w:val="009B2BAC"/>
    <w:rsid w:val="009C6BE8"/>
    <w:rsid w:val="009D3135"/>
    <w:rsid w:val="009E7A6F"/>
    <w:rsid w:val="00A87D5E"/>
    <w:rsid w:val="00A9795A"/>
    <w:rsid w:val="00AA65AF"/>
    <w:rsid w:val="00AB39D7"/>
    <w:rsid w:val="00AB64A7"/>
    <w:rsid w:val="00B34683"/>
    <w:rsid w:val="00B42686"/>
    <w:rsid w:val="00B45B92"/>
    <w:rsid w:val="00B504E5"/>
    <w:rsid w:val="00B56A39"/>
    <w:rsid w:val="00B626DC"/>
    <w:rsid w:val="00B64276"/>
    <w:rsid w:val="00B67759"/>
    <w:rsid w:val="00B74DAB"/>
    <w:rsid w:val="00B779AF"/>
    <w:rsid w:val="00B84669"/>
    <w:rsid w:val="00B913AE"/>
    <w:rsid w:val="00B91A40"/>
    <w:rsid w:val="00BE10CD"/>
    <w:rsid w:val="00C1658C"/>
    <w:rsid w:val="00C32A80"/>
    <w:rsid w:val="00C529D0"/>
    <w:rsid w:val="00C567E5"/>
    <w:rsid w:val="00C62DC7"/>
    <w:rsid w:val="00C832ED"/>
    <w:rsid w:val="00C96014"/>
    <w:rsid w:val="00CD6B0A"/>
    <w:rsid w:val="00D001FF"/>
    <w:rsid w:val="00D32666"/>
    <w:rsid w:val="00D4745E"/>
    <w:rsid w:val="00D826B9"/>
    <w:rsid w:val="00D96A87"/>
    <w:rsid w:val="00DA43A2"/>
    <w:rsid w:val="00DD258B"/>
    <w:rsid w:val="00DE6337"/>
    <w:rsid w:val="00E028FD"/>
    <w:rsid w:val="00E06C29"/>
    <w:rsid w:val="00E3763D"/>
    <w:rsid w:val="00E604E1"/>
    <w:rsid w:val="00E77836"/>
    <w:rsid w:val="00EB39BD"/>
    <w:rsid w:val="00EE49F8"/>
    <w:rsid w:val="00F441BA"/>
    <w:rsid w:val="00F44FFE"/>
    <w:rsid w:val="00F64815"/>
    <w:rsid w:val="00F74675"/>
    <w:rsid w:val="00FA2A15"/>
    <w:rsid w:val="00FC15D4"/>
    <w:rsid w:val="00FC395E"/>
    <w:rsid w:val="00FC427E"/>
    <w:rsid w:val="00FD7E9B"/>
    <w:rsid w:val="02B67427"/>
    <w:rsid w:val="034544F2"/>
    <w:rsid w:val="04C0772F"/>
    <w:rsid w:val="05D9252F"/>
    <w:rsid w:val="07466379"/>
    <w:rsid w:val="0B3B2F33"/>
    <w:rsid w:val="10AC651D"/>
    <w:rsid w:val="149D6329"/>
    <w:rsid w:val="15831DA3"/>
    <w:rsid w:val="15DF646D"/>
    <w:rsid w:val="1997446F"/>
    <w:rsid w:val="1FF83FA8"/>
    <w:rsid w:val="24212BAC"/>
    <w:rsid w:val="264472EC"/>
    <w:rsid w:val="2EA63927"/>
    <w:rsid w:val="2F152813"/>
    <w:rsid w:val="31145E3D"/>
    <w:rsid w:val="33AF70F4"/>
    <w:rsid w:val="34BD6F03"/>
    <w:rsid w:val="3D822AAE"/>
    <w:rsid w:val="3F3D2F6B"/>
    <w:rsid w:val="40AF3C1A"/>
    <w:rsid w:val="46F3508E"/>
    <w:rsid w:val="4C00500B"/>
    <w:rsid w:val="4CE57BEF"/>
    <w:rsid w:val="4CEA2BCF"/>
    <w:rsid w:val="559F1E5A"/>
    <w:rsid w:val="56373A54"/>
    <w:rsid w:val="56F264A8"/>
    <w:rsid w:val="59E81E2F"/>
    <w:rsid w:val="5DF43181"/>
    <w:rsid w:val="63193DEC"/>
    <w:rsid w:val="65972A4B"/>
    <w:rsid w:val="675D3F07"/>
    <w:rsid w:val="68056393"/>
    <w:rsid w:val="6A274ECF"/>
    <w:rsid w:val="6AB93119"/>
    <w:rsid w:val="73676FDF"/>
    <w:rsid w:val="7367716D"/>
    <w:rsid w:val="74AF4D96"/>
    <w:rsid w:val="75BE01C1"/>
    <w:rsid w:val="764D6209"/>
    <w:rsid w:val="76D95EE0"/>
    <w:rsid w:val="78A94FA5"/>
    <w:rsid w:val="7D7914B7"/>
    <w:rsid w:val="7FE13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63D2E"/>
  <w15:docId w15:val="{1F59D577-8FB0-4071-A882-C432D1881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kern w:val="44"/>
      <w:sz w:val="24"/>
    </w:rPr>
  </w:style>
  <w:style w:type="paragraph" w:styleId="2">
    <w:name w:val="heading 2"/>
    <w:basedOn w:val="a"/>
    <w:next w:val="a"/>
    <w:semiHidden/>
    <w:unhideWhenUsed/>
    <w:qFormat/>
    <w:pPr>
      <w:spacing w:beforeAutospacing="1" w:afterAutospacing="1"/>
      <w:jc w:val="left"/>
      <w:outlineLvl w:val="1"/>
    </w:pPr>
    <w:rPr>
      <w:rFonts w:ascii="宋体" w:hAnsi="宋体" w:hint="eastAsia"/>
      <w:b/>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uiPriority w:val="99"/>
    <w:qFormat/>
    <w:pPr>
      <w:jc w:val="left"/>
    </w:pPr>
    <w:rPr>
      <w:kern w:val="0"/>
      <w:sz w:val="24"/>
    </w:rPr>
  </w:style>
  <w:style w:type="character" w:styleId="a5">
    <w:name w:val="Strong"/>
    <w:basedOn w:val="a0"/>
    <w:uiPriority w:val="22"/>
    <w:qFormat/>
    <w:rPr>
      <w:b/>
    </w:rPr>
  </w:style>
  <w:style w:type="character" w:styleId="a6">
    <w:name w:val="FollowedHyperlink"/>
    <w:basedOn w:val="a0"/>
    <w:qFormat/>
    <w:rPr>
      <w:color w:val="000000"/>
      <w:u w:val="none"/>
    </w:rPr>
  </w:style>
  <w:style w:type="character" w:styleId="a7">
    <w:name w:val="Emphasis"/>
    <w:basedOn w:val="a0"/>
    <w:qFormat/>
  </w:style>
  <w:style w:type="character" w:styleId="HTML">
    <w:name w:val="HTML Definition"/>
    <w:basedOn w:val="a0"/>
    <w:qFormat/>
  </w:style>
  <w:style w:type="character" w:styleId="HTML0">
    <w:name w:val="HTML Variable"/>
    <w:basedOn w:val="a0"/>
    <w:qFormat/>
  </w:style>
  <w:style w:type="character" w:styleId="a8">
    <w:name w:val="Hyperlink"/>
    <w:basedOn w:val="a0"/>
    <w:qFormat/>
    <w:rPr>
      <w:color w:val="000000"/>
      <w:u w:val="none"/>
    </w:rPr>
  </w:style>
  <w:style w:type="character" w:styleId="HTML1">
    <w:name w:val="HTML Code"/>
    <w:basedOn w:val="a0"/>
    <w:qFormat/>
    <w:rPr>
      <w:rFonts w:ascii="Courier New" w:hAnsi="Courier New"/>
      <w:sz w:val="20"/>
    </w:rPr>
  </w:style>
  <w:style w:type="character" w:styleId="HTML2">
    <w:name w:val="HTML Cite"/>
    <w:basedOn w:val="a0"/>
    <w:qFormat/>
  </w:style>
  <w:style w:type="character" w:styleId="HTML3">
    <w:name w:val="HTML Keyboard"/>
    <w:basedOn w:val="a0"/>
    <w:qFormat/>
    <w:rPr>
      <w:rFonts w:ascii="Courier New" w:hAnsi="Courier New"/>
      <w:sz w:val="20"/>
    </w:rPr>
  </w:style>
  <w:style w:type="character" w:styleId="HTML4">
    <w:name w:val="HTML Sample"/>
    <w:basedOn w:val="a0"/>
    <w:qFormat/>
    <w:rPr>
      <w:rFonts w:ascii="Courier New" w:hAnsi="Courier New"/>
    </w:rPr>
  </w:style>
  <w:style w:type="character" w:customStyle="1" w:styleId="color01">
    <w:name w:val="color01"/>
    <w:basedOn w:val="a0"/>
    <w:qFormat/>
  </w:style>
  <w:style w:type="character" w:customStyle="1" w:styleId="ond">
    <w:name w:val="ond"/>
    <w:basedOn w:val="a0"/>
    <w:qFormat/>
    <w:rPr>
      <w:color w:val="FFFFFF"/>
      <w:shd w:val="clear" w:color="auto" w:fill="AE0015"/>
    </w:rPr>
  </w:style>
  <w:style w:type="character" w:customStyle="1" w:styleId="ondsd">
    <w:name w:val="ondsd"/>
    <w:basedOn w:val="a0"/>
    <w:qFormat/>
    <w:rPr>
      <w:color w:val="7297B4"/>
    </w:rPr>
  </w:style>
  <w:style w:type="paragraph" w:customStyle="1" w:styleId="artp">
    <w:name w:val="art_p"/>
    <w:basedOn w:val="a"/>
    <w:rsid w:val="00DE6337"/>
    <w:pPr>
      <w:widowControl/>
      <w:spacing w:before="100" w:beforeAutospacing="1" w:after="100" w:afterAutospacing="1"/>
      <w:jc w:val="left"/>
    </w:pPr>
    <w:rPr>
      <w:rFonts w:ascii="宋体" w:hAnsi="宋体" w:cs="宋体"/>
      <w:kern w:val="0"/>
      <w:sz w:val="24"/>
    </w:rPr>
  </w:style>
  <w:style w:type="paragraph" w:styleId="a9">
    <w:name w:val="header"/>
    <w:basedOn w:val="a"/>
    <w:link w:val="aa"/>
    <w:rsid w:val="002726D9"/>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2726D9"/>
    <w:rPr>
      <w:rFonts w:ascii="Calibri" w:hAnsi="Calibri"/>
      <w:kern w:val="2"/>
      <w:sz w:val="18"/>
      <w:szCs w:val="18"/>
    </w:rPr>
  </w:style>
  <w:style w:type="character" w:customStyle="1" w:styleId="bjh-strong">
    <w:name w:val="bjh-strong"/>
    <w:basedOn w:val="a0"/>
    <w:rsid w:val="001654B4"/>
  </w:style>
  <w:style w:type="character" w:customStyle="1" w:styleId="bjh-p">
    <w:name w:val="bjh-p"/>
    <w:basedOn w:val="a0"/>
    <w:rsid w:val="001654B4"/>
  </w:style>
  <w:style w:type="paragraph" w:customStyle="1" w:styleId="ql-align-center">
    <w:name w:val="ql-align-center"/>
    <w:basedOn w:val="a"/>
    <w:rsid w:val="00E604E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10695">
      <w:bodyDiv w:val="1"/>
      <w:marLeft w:val="0"/>
      <w:marRight w:val="0"/>
      <w:marTop w:val="0"/>
      <w:marBottom w:val="0"/>
      <w:divBdr>
        <w:top w:val="none" w:sz="0" w:space="0" w:color="auto"/>
        <w:left w:val="none" w:sz="0" w:space="0" w:color="auto"/>
        <w:bottom w:val="none" w:sz="0" w:space="0" w:color="auto"/>
        <w:right w:val="none" w:sz="0" w:space="0" w:color="auto"/>
      </w:divBdr>
    </w:div>
    <w:div w:id="12458532">
      <w:bodyDiv w:val="1"/>
      <w:marLeft w:val="0"/>
      <w:marRight w:val="0"/>
      <w:marTop w:val="0"/>
      <w:marBottom w:val="0"/>
      <w:divBdr>
        <w:top w:val="none" w:sz="0" w:space="0" w:color="auto"/>
        <w:left w:val="none" w:sz="0" w:space="0" w:color="auto"/>
        <w:bottom w:val="none" w:sz="0" w:space="0" w:color="auto"/>
        <w:right w:val="none" w:sz="0" w:space="0" w:color="auto"/>
      </w:divBdr>
    </w:div>
    <w:div w:id="89084274">
      <w:bodyDiv w:val="1"/>
      <w:marLeft w:val="0"/>
      <w:marRight w:val="0"/>
      <w:marTop w:val="0"/>
      <w:marBottom w:val="0"/>
      <w:divBdr>
        <w:top w:val="none" w:sz="0" w:space="0" w:color="auto"/>
        <w:left w:val="none" w:sz="0" w:space="0" w:color="auto"/>
        <w:bottom w:val="none" w:sz="0" w:space="0" w:color="auto"/>
        <w:right w:val="none" w:sz="0" w:space="0" w:color="auto"/>
      </w:divBdr>
      <w:divsChild>
        <w:div w:id="2083334270">
          <w:marLeft w:val="0"/>
          <w:marRight w:val="0"/>
          <w:marTop w:val="330"/>
          <w:marBottom w:val="0"/>
          <w:divBdr>
            <w:top w:val="none" w:sz="0" w:space="0" w:color="auto"/>
            <w:left w:val="none" w:sz="0" w:space="0" w:color="auto"/>
            <w:bottom w:val="none" w:sz="0" w:space="0" w:color="auto"/>
            <w:right w:val="none" w:sz="0" w:space="0" w:color="auto"/>
          </w:divBdr>
        </w:div>
        <w:div w:id="45179054">
          <w:marLeft w:val="0"/>
          <w:marRight w:val="0"/>
          <w:marTop w:val="330"/>
          <w:marBottom w:val="0"/>
          <w:divBdr>
            <w:top w:val="none" w:sz="0" w:space="0" w:color="auto"/>
            <w:left w:val="none" w:sz="0" w:space="0" w:color="auto"/>
            <w:bottom w:val="none" w:sz="0" w:space="0" w:color="auto"/>
            <w:right w:val="none" w:sz="0" w:space="0" w:color="auto"/>
          </w:divBdr>
        </w:div>
      </w:divsChild>
    </w:div>
    <w:div w:id="93283678">
      <w:bodyDiv w:val="1"/>
      <w:marLeft w:val="0"/>
      <w:marRight w:val="0"/>
      <w:marTop w:val="0"/>
      <w:marBottom w:val="0"/>
      <w:divBdr>
        <w:top w:val="none" w:sz="0" w:space="0" w:color="auto"/>
        <w:left w:val="none" w:sz="0" w:space="0" w:color="auto"/>
        <w:bottom w:val="none" w:sz="0" w:space="0" w:color="auto"/>
        <w:right w:val="none" w:sz="0" w:space="0" w:color="auto"/>
      </w:divBdr>
    </w:div>
    <w:div w:id="118035581">
      <w:bodyDiv w:val="1"/>
      <w:marLeft w:val="0"/>
      <w:marRight w:val="0"/>
      <w:marTop w:val="0"/>
      <w:marBottom w:val="0"/>
      <w:divBdr>
        <w:top w:val="none" w:sz="0" w:space="0" w:color="auto"/>
        <w:left w:val="none" w:sz="0" w:space="0" w:color="auto"/>
        <w:bottom w:val="none" w:sz="0" w:space="0" w:color="auto"/>
        <w:right w:val="none" w:sz="0" w:space="0" w:color="auto"/>
      </w:divBdr>
    </w:div>
    <w:div w:id="174150505">
      <w:bodyDiv w:val="1"/>
      <w:marLeft w:val="0"/>
      <w:marRight w:val="0"/>
      <w:marTop w:val="0"/>
      <w:marBottom w:val="0"/>
      <w:divBdr>
        <w:top w:val="none" w:sz="0" w:space="0" w:color="auto"/>
        <w:left w:val="none" w:sz="0" w:space="0" w:color="auto"/>
        <w:bottom w:val="none" w:sz="0" w:space="0" w:color="auto"/>
        <w:right w:val="none" w:sz="0" w:space="0" w:color="auto"/>
      </w:divBdr>
    </w:div>
    <w:div w:id="223418557">
      <w:bodyDiv w:val="1"/>
      <w:marLeft w:val="0"/>
      <w:marRight w:val="0"/>
      <w:marTop w:val="0"/>
      <w:marBottom w:val="0"/>
      <w:divBdr>
        <w:top w:val="none" w:sz="0" w:space="0" w:color="auto"/>
        <w:left w:val="none" w:sz="0" w:space="0" w:color="auto"/>
        <w:bottom w:val="none" w:sz="0" w:space="0" w:color="auto"/>
        <w:right w:val="none" w:sz="0" w:space="0" w:color="auto"/>
      </w:divBdr>
    </w:div>
    <w:div w:id="239950157">
      <w:bodyDiv w:val="1"/>
      <w:marLeft w:val="0"/>
      <w:marRight w:val="0"/>
      <w:marTop w:val="0"/>
      <w:marBottom w:val="0"/>
      <w:divBdr>
        <w:top w:val="none" w:sz="0" w:space="0" w:color="auto"/>
        <w:left w:val="none" w:sz="0" w:space="0" w:color="auto"/>
        <w:bottom w:val="none" w:sz="0" w:space="0" w:color="auto"/>
        <w:right w:val="none" w:sz="0" w:space="0" w:color="auto"/>
      </w:divBdr>
    </w:div>
    <w:div w:id="314264331">
      <w:bodyDiv w:val="1"/>
      <w:marLeft w:val="0"/>
      <w:marRight w:val="0"/>
      <w:marTop w:val="0"/>
      <w:marBottom w:val="0"/>
      <w:divBdr>
        <w:top w:val="none" w:sz="0" w:space="0" w:color="auto"/>
        <w:left w:val="none" w:sz="0" w:space="0" w:color="auto"/>
        <w:bottom w:val="none" w:sz="0" w:space="0" w:color="auto"/>
        <w:right w:val="none" w:sz="0" w:space="0" w:color="auto"/>
      </w:divBdr>
    </w:div>
    <w:div w:id="334960129">
      <w:bodyDiv w:val="1"/>
      <w:marLeft w:val="0"/>
      <w:marRight w:val="0"/>
      <w:marTop w:val="0"/>
      <w:marBottom w:val="0"/>
      <w:divBdr>
        <w:top w:val="none" w:sz="0" w:space="0" w:color="auto"/>
        <w:left w:val="none" w:sz="0" w:space="0" w:color="auto"/>
        <w:bottom w:val="none" w:sz="0" w:space="0" w:color="auto"/>
        <w:right w:val="none" w:sz="0" w:space="0" w:color="auto"/>
      </w:divBdr>
    </w:div>
    <w:div w:id="462887084">
      <w:bodyDiv w:val="1"/>
      <w:marLeft w:val="0"/>
      <w:marRight w:val="0"/>
      <w:marTop w:val="0"/>
      <w:marBottom w:val="0"/>
      <w:divBdr>
        <w:top w:val="none" w:sz="0" w:space="0" w:color="auto"/>
        <w:left w:val="none" w:sz="0" w:space="0" w:color="auto"/>
        <w:bottom w:val="none" w:sz="0" w:space="0" w:color="auto"/>
        <w:right w:val="none" w:sz="0" w:space="0" w:color="auto"/>
      </w:divBdr>
    </w:div>
    <w:div w:id="545416208">
      <w:bodyDiv w:val="1"/>
      <w:marLeft w:val="0"/>
      <w:marRight w:val="0"/>
      <w:marTop w:val="0"/>
      <w:marBottom w:val="0"/>
      <w:divBdr>
        <w:top w:val="none" w:sz="0" w:space="0" w:color="auto"/>
        <w:left w:val="none" w:sz="0" w:space="0" w:color="auto"/>
        <w:bottom w:val="none" w:sz="0" w:space="0" w:color="auto"/>
        <w:right w:val="none" w:sz="0" w:space="0" w:color="auto"/>
      </w:divBdr>
    </w:div>
    <w:div w:id="578831650">
      <w:bodyDiv w:val="1"/>
      <w:marLeft w:val="0"/>
      <w:marRight w:val="0"/>
      <w:marTop w:val="0"/>
      <w:marBottom w:val="0"/>
      <w:divBdr>
        <w:top w:val="none" w:sz="0" w:space="0" w:color="auto"/>
        <w:left w:val="none" w:sz="0" w:space="0" w:color="auto"/>
        <w:bottom w:val="none" w:sz="0" w:space="0" w:color="auto"/>
        <w:right w:val="none" w:sz="0" w:space="0" w:color="auto"/>
      </w:divBdr>
    </w:div>
    <w:div w:id="599487845">
      <w:bodyDiv w:val="1"/>
      <w:marLeft w:val="0"/>
      <w:marRight w:val="0"/>
      <w:marTop w:val="0"/>
      <w:marBottom w:val="0"/>
      <w:divBdr>
        <w:top w:val="none" w:sz="0" w:space="0" w:color="auto"/>
        <w:left w:val="none" w:sz="0" w:space="0" w:color="auto"/>
        <w:bottom w:val="none" w:sz="0" w:space="0" w:color="auto"/>
        <w:right w:val="none" w:sz="0" w:space="0" w:color="auto"/>
      </w:divBdr>
    </w:div>
    <w:div w:id="628243035">
      <w:bodyDiv w:val="1"/>
      <w:marLeft w:val="0"/>
      <w:marRight w:val="0"/>
      <w:marTop w:val="0"/>
      <w:marBottom w:val="0"/>
      <w:divBdr>
        <w:top w:val="none" w:sz="0" w:space="0" w:color="auto"/>
        <w:left w:val="none" w:sz="0" w:space="0" w:color="auto"/>
        <w:bottom w:val="none" w:sz="0" w:space="0" w:color="auto"/>
        <w:right w:val="none" w:sz="0" w:space="0" w:color="auto"/>
      </w:divBdr>
    </w:div>
    <w:div w:id="639654355">
      <w:bodyDiv w:val="1"/>
      <w:marLeft w:val="0"/>
      <w:marRight w:val="0"/>
      <w:marTop w:val="0"/>
      <w:marBottom w:val="0"/>
      <w:divBdr>
        <w:top w:val="none" w:sz="0" w:space="0" w:color="auto"/>
        <w:left w:val="none" w:sz="0" w:space="0" w:color="auto"/>
        <w:bottom w:val="none" w:sz="0" w:space="0" w:color="auto"/>
        <w:right w:val="none" w:sz="0" w:space="0" w:color="auto"/>
      </w:divBdr>
    </w:div>
    <w:div w:id="640966221">
      <w:bodyDiv w:val="1"/>
      <w:marLeft w:val="0"/>
      <w:marRight w:val="0"/>
      <w:marTop w:val="0"/>
      <w:marBottom w:val="0"/>
      <w:divBdr>
        <w:top w:val="none" w:sz="0" w:space="0" w:color="auto"/>
        <w:left w:val="none" w:sz="0" w:space="0" w:color="auto"/>
        <w:bottom w:val="none" w:sz="0" w:space="0" w:color="auto"/>
        <w:right w:val="none" w:sz="0" w:space="0" w:color="auto"/>
      </w:divBdr>
    </w:div>
    <w:div w:id="641542359">
      <w:bodyDiv w:val="1"/>
      <w:marLeft w:val="0"/>
      <w:marRight w:val="0"/>
      <w:marTop w:val="0"/>
      <w:marBottom w:val="0"/>
      <w:divBdr>
        <w:top w:val="none" w:sz="0" w:space="0" w:color="auto"/>
        <w:left w:val="none" w:sz="0" w:space="0" w:color="auto"/>
        <w:bottom w:val="none" w:sz="0" w:space="0" w:color="auto"/>
        <w:right w:val="none" w:sz="0" w:space="0" w:color="auto"/>
      </w:divBdr>
    </w:div>
    <w:div w:id="657542486">
      <w:bodyDiv w:val="1"/>
      <w:marLeft w:val="0"/>
      <w:marRight w:val="0"/>
      <w:marTop w:val="0"/>
      <w:marBottom w:val="0"/>
      <w:divBdr>
        <w:top w:val="none" w:sz="0" w:space="0" w:color="auto"/>
        <w:left w:val="none" w:sz="0" w:space="0" w:color="auto"/>
        <w:bottom w:val="none" w:sz="0" w:space="0" w:color="auto"/>
        <w:right w:val="none" w:sz="0" w:space="0" w:color="auto"/>
      </w:divBdr>
    </w:div>
    <w:div w:id="667909440">
      <w:bodyDiv w:val="1"/>
      <w:marLeft w:val="0"/>
      <w:marRight w:val="0"/>
      <w:marTop w:val="0"/>
      <w:marBottom w:val="0"/>
      <w:divBdr>
        <w:top w:val="none" w:sz="0" w:space="0" w:color="auto"/>
        <w:left w:val="none" w:sz="0" w:space="0" w:color="auto"/>
        <w:bottom w:val="none" w:sz="0" w:space="0" w:color="auto"/>
        <w:right w:val="none" w:sz="0" w:space="0" w:color="auto"/>
      </w:divBdr>
    </w:div>
    <w:div w:id="803229722">
      <w:bodyDiv w:val="1"/>
      <w:marLeft w:val="0"/>
      <w:marRight w:val="0"/>
      <w:marTop w:val="0"/>
      <w:marBottom w:val="0"/>
      <w:divBdr>
        <w:top w:val="none" w:sz="0" w:space="0" w:color="auto"/>
        <w:left w:val="none" w:sz="0" w:space="0" w:color="auto"/>
        <w:bottom w:val="none" w:sz="0" w:space="0" w:color="auto"/>
        <w:right w:val="none" w:sz="0" w:space="0" w:color="auto"/>
      </w:divBdr>
    </w:div>
    <w:div w:id="812256530">
      <w:bodyDiv w:val="1"/>
      <w:marLeft w:val="0"/>
      <w:marRight w:val="0"/>
      <w:marTop w:val="0"/>
      <w:marBottom w:val="0"/>
      <w:divBdr>
        <w:top w:val="none" w:sz="0" w:space="0" w:color="auto"/>
        <w:left w:val="none" w:sz="0" w:space="0" w:color="auto"/>
        <w:bottom w:val="none" w:sz="0" w:space="0" w:color="auto"/>
        <w:right w:val="none" w:sz="0" w:space="0" w:color="auto"/>
      </w:divBdr>
    </w:div>
    <w:div w:id="833571202">
      <w:bodyDiv w:val="1"/>
      <w:marLeft w:val="0"/>
      <w:marRight w:val="0"/>
      <w:marTop w:val="0"/>
      <w:marBottom w:val="0"/>
      <w:divBdr>
        <w:top w:val="none" w:sz="0" w:space="0" w:color="auto"/>
        <w:left w:val="none" w:sz="0" w:space="0" w:color="auto"/>
        <w:bottom w:val="none" w:sz="0" w:space="0" w:color="auto"/>
        <w:right w:val="none" w:sz="0" w:space="0" w:color="auto"/>
      </w:divBdr>
    </w:div>
    <w:div w:id="860820340">
      <w:bodyDiv w:val="1"/>
      <w:marLeft w:val="0"/>
      <w:marRight w:val="0"/>
      <w:marTop w:val="0"/>
      <w:marBottom w:val="0"/>
      <w:divBdr>
        <w:top w:val="none" w:sz="0" w:space="0" w:color="auto"/>
        <w:left w:val="none" w:sz="0" w:space="0" w:color="auto"/>
        <w:bottom w:val="none" w:sz="0" w:space="0" w:color="auto"/>
        <w:right w:val="none" w:sz="0" w:space="0" w:color="auto"/>
      </w:divBdr>
      <w:divsChild>
        <w:div w:id="371152724">
          <w:marLeft w:val="0"/>
          <w:marRight w:val="0"/>
          <w:marTop w:val="330"/>
          <w:marBottom w:val="0"/>
          <w:divBdr>
            <w:top w:val="none" w:sz="0" w:space="0" w:color="auto"/>
            <w:left w:val="none" w:sz="0" w:space="0" w:color="auto"/>
            <w:bottom w:val="none" w:sz="0" w:space="0" w:color="auto"/>
            <w:right w:val="none" w:sz="0" w:space="0" w:color="auto"/>
          </w:divBdr>
        </w:div>
        <w:div w:id="1177888117">
          <w:marLeft w:val="0"/>
          <w:marRight w:val="0"/>
          <w:marTop w:val="330"/>
          <w:marBottom w:val="0"/>
          <w:divBdr>
            <w:top w:val="none" w:sz="0" w:space="0" w:color="auto"/>
            <w:left w:val="none" w:sz="0" w:space="0" w:color="auto"/>
            <w:bottom w:val="none" w:sz="0" w:space="0" w:color="auto"/>
            <w:right w:val="none" w:sz="0" w:space="0" w:color="auto"/>
          </w:divBdr>
        </w:div>
        <w:div w:id="162623781">
          <w:marLeft w:val="0"/>
          <w:marRight w:val="0"/>
          <w:marTop w:val="330"/>
          <w:marBottom w:val="0"/>
          <w:divBdr>
            <w:top w:val="none" w:sz="0" w:space="0" w:color="auto"/>
            <w:left w:val="none" w:sz="0" w:space="0" w:color="auto"/>
            <w:bottom w:val="none" w:sz="0" w:space="0" w:color="auto"/>
            <w:right w:val="none" w:sz="0" w:space="0" w:color="auto"/>
          </w:divBdr>
        </w:div>
      </w:divsChild>
    </w:div>
    <w:div w:id="870605801">
      <w:bodyDiv w:val="1"/>
      <w:marLeft w:val="0"/>
      <w:marRight w:val="0"/>
      <w:marTop w:val="0"/>
      <w:marBottom w:val="0"/>
      <w:divBdr>
        <w:top w:val="none" w:sz="0" w:space="0" w:color="auto"/>
        <w:left w:val="none" w:sz="0" w:space="0" w:color="auto"/>
        <w:bottom w:val="none" w:sz="0" w:space="0" w:color="auto"/>
        <w:right w:val="none" w:sz="0" w:space="0" w:color="auto"/>
      </w:divBdr>
    </w:div>
    <w:div w:id="916936287">
      <w:bodyDiv w:val="1"/>
      <w:marLeft w:val="0"/>
      <w:marRight w:val="0"/>
      <w:marTop w:val="0"/>
      <w:marBottom w:val="0"/>
      <w:divBdr>
        <w:top w:val="none" w:sz="0" w:space="0" w:color="auto"/>
        <w:left w:val="none" w:sz="0" w:space="0" w:color="auto"/>
        <w:bottom w:val="none" w:sz="0" w:space="0" w:color="auto"/>
        <w:right w:val="none" w:sz="0" w:space="0" w:color="auto"/>
      </w:divBdr>
    </w:div>
    <w:div w:id="982275142">
      <w:bodyDiv w:val="1"/>
      <w:marLeft w:val="0"/>
      <w:marRight w:val="0"/>
      <w:marTop w:val="0"/>
      <w:marBottom w:val="0"/>
      <w:divBdr>
        <w:top w:val="none" w:sz="0" w:space="0" w:color="auto"/>
        <w:left w:val="none" w:sz="0" w:space="0" w:color="auto"/>
        <w:bottom w:val="none" w:sz="0" w:space="0" w:color="auto"/>
        <w:right w:val="none" w:sz="0" w:space="0" w:color="auto"/>
      </w:divBdr>
    </w:div>
    <w:div w:id="984041993">
      <w:bodyDiv w:val="1"/>
      <w:marLeft w:val="0"/>
      <w:marRight w:val="0"/>
      <w:marTop w:val="0"/>
      <w:marBottom w:val="0"/>
      <w:divBdr>
        <w:top w:val="none" w:sz="0" w:space="0" w:color="auto"/>
        <w:left w:val="none" w:sz="0" w:space="0" w:color="auto"/>
        <w:bottom w:val="none" w:sz="0" w:space="0" w:color="auto"/>
        <w:right w:val="none" w:sz="0" w:space="0" w:color="auto"/>
      </w:divBdr>
      <w:divsChild>
        <w:div w:id="717978485">
          <w:marLeft w:val="0"/>
          <w:marRight w:val="0"/>
          <w:marTop w:val="330"/>
          <w:marBottom w:val="0"/>
          <w:divBdr>
            <w:top w:val="none" w:sz="0" w:space="0" w:color="auto"/>
            <w:left w:val="none" w:sz="0" w:space="0" w:color="auto"/>
            <w:bottom w:val="none" w:sz="0" w:space="0" w:color="auto"/>
            <w:right w:val="none" w:sz="0" w:space="0" w:color="auto"/>
          </w:divBdr>
        </w:div>
        <w:div w:id="1974557410">
          <w:marLeft w:val="0"/>
          <w:marRight w:val="0"/>
          <w:marTop w:val="330"/>
          <w:marBottom w:val="0"/>
          <w:divBdr>
            <w:top w:val="none" w:sz="0" w:space="0" w:color="auto"/>
            <w:left w:val="none" w:sz="0" w:space="0" w:color="auto"/>
            <w:bottom w:val="none" w:sz="0" w:space="0" w:color="auto"/>
            <w:right w:val="none" w:sz="0" w:space="0" w:color="auto"/>
          </w:divBdr>
        </w:div>
        <w:div w:id="557863913">
          <w:marLeft w:val="0"/>
          <w:marRight w:val="0"/>
          <w:marTop w:val="330"/>
          <w:marBottom w:val="0"/>
          <w:divBdr>
            <w:top w:val="none" w:sz="0" w:space="0" w:color="auto"/>
            <w:left w:val="none" w:sz="0" w:space="0" w:color="auto"/>
            <w:bottom w:val="none" w:sz="0" w:space="0" w:color="auto"/>
            <w:right w:val="none" w:sz="0" w:space="0" w:color="auto"/>
          </w:divBdr>
        </w:div>
      </w:divsChild>
    </w:div>
    <w:div w:id="1026447352">
      <w:bodyDiv w:val="1"/>
      <w:marLeft w:val="0"/>
      <w:marRight w:val="0"/>
      <w:marTop w:val="0"/>
      <w:marBottom w:val="0"/>
      <w:divBdr>
        <w:top w:val="none" w:sz="0" w:space="0" w:color="auto"/>
        <w:left w:val="none" w:sz="0" w:space="0" w:color="auto"/>
        <w:bottom w:val="none" w:sz="0" w:space="0" w:color="auto"/>
        <w:right w:val="none" w:sz="0" w:space="0" w:color="auto"/>
      </w:divBdr>
    </w:div>
    <w:div w:id="1142455667">
      <w:bodyDiv w:val="1"/>
      <w:marLeft w:val="0"/>
      <w:marRight w:val="0"/>
      <w:marTop w:val="0"/>
      <w:marBottom w:val="0"/>
      <w:divBdr>
        <w:top w:val="none" w:sz="0" w:space="0" w:color="auto"/>
        <w:left w:val="none" w:sz="0" w:space="0" w:color="auto"/>
        <w:bottom w:val="none" w:sz="0" w:space="0" w:color="auto"/>
        <w:right w:val="none" w:sz="0" w:space="0" w:color="auto"/>
      </w:divBdr>
    </w:div>
    <w:div w:id="1242720403">
      <w:bodyDiv w:val="1"/>
      <w:marLeft w:val="0"/>
      <w:marRight w:val="0"/>
      <w:marTop w:val="0"/>
      <w:marBottom w:val="0"/>
      <w:divBdr>
        <w:top w:val="none" w:sz="0" w:space="0" w:color="auto"/>
        <w:left w:val="none" w:sz="0" w:space="0" w:color="auto"/>
        <w:bottom w:val="none" w:sz="0" w:space="0" w:color="auto"/>
        <w:right w:val="none" w:sz="0" w:space="0" w:color="auto"/>
      </w:divBdr>
    </w:div>
    <w:div w:id="1305157223">
      <w:bodyDiv w:val="1"/>
      <w:marLeft w:val="0"/>
      <w:marRight w:val="0"/>
      <w:marTop w:val="0"/>
      <w:marBottom w:val="0"/>
      <w:divBdr>
        <w:top w:val="none" w:sz="0" w:space="0" w:color="auto"/>
        <w:left w:val="none" w:sz="0" w:space="0" w:color="auto"/>
        <w:bottom w:val="none" w:sz="0" w:space="0" w:color="auto"/>
        <w:right w:val="none" w:sz="0" w:space="0" w:color="auto"/>
      </w:divBdr>
    </w:div>
    <w:div w:id="1343046923">
      <w:bodyDiv w:val="1"/>
      <w:marLeft w:val="0"/>
      <w:marRight w:val="0"/>
      <w:marTop w:val="0"/>
      <w:marBottom w:val="0"/>
      <w:divBdr>
        <w:top w:val="none" w:sz="0" w:space="0" w:color="auto"/>
        <w:left w:val="none" w:sz="0" w:space="0" w:color="auto"/>
        <w:bottom w:val="none" w:sz="0" w:space="0" w:color="auto"/>
        <w:right w:val="none" w:sz="0" w:space="0" w:color="auto"/>
      </w:divBdr>
    </w:div>
    <w:div w:id="1385637982">
      <w:bodyDiv w:val="1"/>
      <w:marLeft w:val="0"/>
      <w:marRight w:val="0"/>
      <w:marTop w:val="0"/>
      <w:marBottom w:val="0"/>
      <w:divBdr>
        <w:top w:val="none" w:sz="0" w:space="0" w:color="auto"/>
        <w:left w:val="none" w:sz="0" w:space="0" w:color="auto"/>
        <w:bottom w:val="none" w:sz="0" w:space="0" w:color="auto"/>
        <w:right w:val="none" w:sz="0" w:space="0" w:color="auto"/>
      </w:divBdr>
    </w:div>
    <w:div w:id="1411612046">
      <w:bodyDiv w:val="1"/>
      <w:marLeft w:val="0"/>
      <w:marRight w:val="0"/>
      <w:marTop w:val="0"/>
      <w:marBottom w:val="0"/>
      <w:divBdr>
        <w:top w:val="none" w:sz="0" w:space="0" w:color="auto"/>
        <w:left w:val="none" w:sz="0" w:space="0" w:color="auto"/>
        <w:bottom w:val="none" w:sz="0" w:space="0" w:color="auto"/>
        <w:right w:val="none" w:sz="0" w:space="0" w:color="auto"/>
      </w:divBdr>
    </w:div>
    <w:div w:id="1469131827">
      <w:bodyDiv w:val="1"/>
      <w:marLeft w:val="0"/>
      <w:marRight w:val="0"/>
      <w:marTop w:val="0"/>
      <w:marBottom w:val="0"/>
      <w:divBdr>
        <w:top w:val="none" w:sz="0" w:space="0" w:color="auto"/>
        <w:left w:val="none" w:sz="0" w:space="0" w:color="auto"/>
        <w:bottom w:val="none" w:sz="0" w:space="0" w:color="auto"/>
        <w:right w:val="none" w:sz="0" w:space="0" w:color="auto"/>
      </w:divBdr>
    </w:div>
    <w:div w:id="1471747590">
      <w:bodyDiv w:val="1"/>
      <w:marLeft w:val="0"/>
      <w:marRight w:val="0"/>
      <w:marTop w:val="0"/>
      <w:marBottom w:val="0"/>
      <w:divBdr>
        <w:top w:val="none" w:sz="0" w:space="0" w:color="auto"/>
        <w:left w:val="none" w:sz="0" w:space="0" w:color="auto"/>
        <w:bottom w:val="none" w:sz="0" w:space="0" w:color="auto"/>
        <w:right w:val="none" w:sz="0" w:space="0" w:color="auto"/>
      </w:divBdr>
    </w:div>
    <w:div w:id="1475560460">
      <w:bodyDiv w:val="1"/>
      <w:marLeft w:val="0"/>
      <w:marRight w:val="0"/>
      <w:marTop w:val="0"/>
      <w:marBottom w:val="0"/>
      <w:divBdr>
        <w:top w:val="none" w:sz="0" w:space="0" w:color="auto"/>
        <w:left w:val="none" w:sz="0" w:space="0" w:color="auto"/>
        <w:bottom w:val="none" w:sz="0" w:space="0" w:color="auto"/>
        <w:right w:val="none" w:sz="0" w:space="0" w:color="auto"/>
      </w:divBdr>
    </w:div>
    <w:div w:id="1485930197">
      <w:bodyDiv w:val="1"/>
      <w:marLeft w:val="0"/>
      <w:marRight w:val="0"/>
      <w:marTop w:val="0"/>
      <w:marBottom w:val="0"/>
      <w:divBdr>
        <w:top w:val="none" w:sz="0" w:space="0" w:color="auto"/>
        <w:left w:val="none" w:sz="0" w:space="0" w:color="auto"/>
        <w:bottom w:val="none" w:sz="0" w:space="0" w:color="auto"/>
        <w:right w:val="none" w:sz="0" w:space="0" w:color="auto"/>
      </w:divBdr>
    </w:div>
    <w:div w:id="1546524102">
      <w:bodyDiv w:val="1"/>
      <w:marLeft w:val="0"/>
      <w:marRight w:val="0"/>
      <w:marTop w:val="0"/>
      <w:marBottom w:val="0"/>
      <w:divBdr>
        <w:top w:val="none" w:sz="0" w:space="0" w:color="auto"/>
        <w:left w:val="none" w:sz="0" w:space="0" w:color="auto"/>
        <w:bottom w:val="none" w:sz="0" w:space="0" w:color="auto"/>
        <w:right w:val="none" w:sz="0" w:space="0" w:color="auto"/>
      </w:divBdr>
      <w:divsChild>
        <w:div w:id="661201656">
          <w:marLeft w:val="0"/>
          <w:marRight w:val="0"/>
          <w:marTop w:val="330"/>
          <w:marBottom w:val="0"/>
          <w:divBdr>
            <w:top w:val="none" w:sz="0" w:space="0" w:color="auto"/>
            <w:left w:val="none" w:sz="0" w:space="0" w:color="auto"/>
            <w:bottom w:val="none" w:sz="0" w:space="0" w:color="auto"/>
            <w:right w:val="none" w:sz="0" w:space="0" w:color="auto"/>
          </w:divBdr>
        </w:div>
        <w:div w:id="302778491">
          <w:marLeft w:val="0"/>
          <w:marRight w:val="0"/>
          <w:marTop w:val="330"/>
          <w:marBottom w:val="0"/>
          <w:divBdr>
            <w:top w:val="none" w:sz="0" w:space="0" w:color="auto"/>
            <w:left w:val="none" w:sz="0" w:space="0" w:color="auto"/>
            <w:bottom w:val="none" w:sz="0" w:space="0" w:color="auto"/>
            <w:right w:val="none" w:sz="0" w:space="0" w:color="auto"/>
          </w:divBdr>
        </w:div>
        <w:div w:id="1883783995">
          <w:marLeft w:val="0"/>
          <w:marRight w:val="0"/>
          <w:marTop w:val="330"/>
          <w:marBottom w:val="0"/>
          <w:divBdr>
            <w:top w:val="none" w:sz="0" w:space="0" w:color="auto"/>
            <w:left w:val="none" w:sz="0" w:space="0" w:color="auto"/>
            <w:bottom w:val="none" w:sz="0" w:space="0" w:color="auto"/>
            <w:right w:val="none" w:sz="0" w:space="0" w:color="auto"/>
          </w:divBdr>
        </w:div>
      </w:divsChild>
    </w:div>
    <w:div w:id="1676179756">
      <w:bodyDiv w:val="1"/>
      <w:marLeft w:val="0"/>
      <w:marRight w:val="0"/>
      <w:marTop w:val="0"/>
      <w:marBottom w:val="0"/>
      <w:divBdr>
        <w:top w:val="none" w:sz="0" w:space="0" w:color="auto"/>
        <w:left w:val="none" w:sz="0" w:space="0" w:color="auto"/>
        <w:bottom w:val="none" w:sz="0" w:space="0" w:color="auto"/>
        <w:right w:val="none" w:sz="0" w:space="0" w:color="auto"/>
      </w:divBdr>
      <w:divsChild>
        <w:div w:id="1150098816">
          <w:marLeft w:val="0"/>
          <w:marRight w:val="0"/>
          <w:marTop w:val="330"/>
          <w:marBottom w:val="0"/>
          <w:divBdr>
            <w:top w:val="none" w:sz="0" w:space="0" w:color="auto"/>
            <w:left w:val="none" w:sz="0" w:space="0" w:color="auto"/>
            <w:bottom w:val="none" w:sz="0" w:space="0" w:color="auto"/>
            <w:right w:val="none" w:sz="0" w:space="0" w:color="auto"/>
          </w:divBdr>
        </w:div>
        <w:div w:id="1396390752">
          <w:marLeft w:val="0"/>
          <w:marRight w:val="0"/>
          <w:marTop w:val="330"/>
          <w:marBottom w:val="0"/>
          <w:divBdr>
            <w:top w:val="none" w:sz="0" w:space="0" w:color="auto"/>
            <w:left w:val="none" w:sz="0" w:space="0" w:color="auto"/>
            <w:bottom w:val="none" w:sz="0" w:space="0" w:color="auto"/>
            <w:right w:val="none" w:sz="0" w:space="0" w:color="auto"/>
          </w:divBdr>
        </w:div>
      </w:divsChild>
    </w:div>
    <w:div w:id="1726642040">
      <w:bodyDiv w:val="1"/>
      <w:marLeft w:val="0"/>
      <w:marRight w:val="0"/>
      <w:marTop w:val="0"/>
      <w:marBottom w:val="0"/>
      <w:divBdr>
        <w:top w:val="none" w:sz="0" w:space="0" w:color="auto"/>
        <w:left w:val="none" w:sz="0" w:space="0" w:color="auto"/>
        <w:bottom w:val="none" w:sz="0" w:space="0" w:color="auto"/>
        <w:right w:val="none" w:sz="0" w:space="0" w:color="auto"/>
      </w:divBdr>
    </w:div>
    <w:div w:id="1780181254">
      <w:bodyDiv w:val="1"/>
      <w:marLeft w:val="0"/>
      <w:marRight w:val="0"/>
      <w:marTop w:val="0"/>
      <w:marBottom w:val="0"/>
      <w:divBdr>
        <w:top w:val="none" w:sz="0" w:space="0" w:color="auto"/>
        <w:left w:val="none" w:sz="0" w:space="0" w:color="auto"/>
        <w:bottom w:val="none" w:sz="0" w:space="0" w:color="auto"/>
        <w:right w:val="none" w:sz="0" w:space="0" w:color="auto"/>
      </w:divBdr>
    </w:div>
    <w:div w:id="1888682036">
      <w:bodyDiv w:val="1"/>
      <w:marLeft w:val="0"/>
      <w:marRight w:val="0"/>
      <w:marTop w:val="0"/>
      <w:marBottom w:val="0"/>
      <w:divBdr>
        <w:top w:val="none" w:sz="0" w:space="0" w:color="auto"/>
        <w:left w:val="none" w:sz="0" w:space="0" w:color="auto"/>
        <w:bottom w:val="none" w:sz="0" w:space="0" w:color="auto"/>
        <w:right w:val="none" w:sz="0" w:space="0" w:color="auto"/>
      </w:divBdr>
    </w:div>
    <w:div w:id="1899632439">
      <w:bodyDiv w:val="1"/>
      <w:marLeft w:val="0"/>
      <w:marRight w:val="0"/>
      <w:marTop w:val="0"/>
      <w:marBottom w:val="0"/>
      <w:divBdr>
        <w:top w:val="none" w:sz="0" w:space="0" w:color="auto"/>
        <w:left w:val="none" w:sz="0" w:space="0" w:color="auto"/>
        <w:bottom w:val="none" w:sz="0" w:space="0" w:color="auto"/>
        <w:right w:val="none" w:sz="0" w:space="0" w:color="auto"/>
      </w:divBdr>
      <w:divsChild>
        <w:div w:id="1281567212">
          <w:marLeft w:val="0"/>
          <w:marRight w:val="0"/>
          <w:marTop w:val="330"/>
          <w:marBottom w:val="0"/>
          <w:divBdr>
            <w:top w:val="none" w:sz="0" w:space="0" w:color="auto"/>
            <w:left w:val="none" w:sz="0" w:space="0" w:color="auto"/>
            <w:bottom w:val="none" w:sz="0" w:space="0" w:color="auto"/>
            <w:right w:val="none" w:sz="0" w:space="0" w:color="auto"/>
          </w:divBdr>
        </w:div>
        <w:div w:id="1299719914">
          <w:marLeft w:val="0"/>
          <w:marRight w:val="0"/>
          <w:marTop w:val="330"/>
          <w:marBottom w:val="0"/>
          <w:divBdr>
            <w:top w:val="none" w:sz="0" w:space="0" w:color="auto"/>
            <w:left w:val="none" w:sz="0" w:space="0" w:color="auto"/>
            <w:bottom w:val="none" w:sz="0" w:space="0" w:color="auto"/>
            <w:right w:val="none" w:sz="0" w:space="0" w:color="auto"/>
          </w:divBdr>
        </w:div>
        <w:div w:id="1917979525">
          <w:marLeft w:val="0"/>
          <w:marRight w:val="0"/>
          <w:marTop w:val="330"/>
          <w:marBottom w:val="0"/>
          <w:divBdr>
            <w:top w:val="none" w:sz="0" w:space="0" w:color="auto"/>
            <w:left w:val="none" w:sz="0" w:space="0" w:color="auto"/>
            <w:bottom w:val="none" w:sz="0" w:space="0" w:color="auto"/>
            <w:right w:val="none" w:sz="0" w:space="0" w:color="auto"/>
          </w:divBdr>
        </w:div>
        <w:div w:id="2017228780">
          <w:marLeft w:val="0"/>
          <w:marRight w:val="0"/>
          <w:marTop w:val="330"/>
          <w:marBottom w:val="0"/>
          <w:divBdr>
            <w:top w:val="none" w:sz="0" w:space="0" w:color="auto"/>
            <w:left w:val="none" w:sz="0" w:space="0" w:color="auto"/>
            <w:bottom w:val="none" w:sz="0" w:space="0" w:color="auto"/>
            <w:right w:val="none" w:sz="0" w:space="0" w:color="auto"/>
          </w:divBdr>
        </w:div>
        <w:div w:id="1368026229">
          <w:marLeft w:val="0"/>
          <w:marRight w:val="0"/>
          <w:marTop w:val="330"/>
          <w:marBottom w:val="0"/>
          <w:divBdr>
            <w:top w:val="none" w:sz="0" w:space="0" w:color="auto"/>
            <w:left w:val="none" w:sz="0" w:space="0" w:color="auto"/>
            <w:bottom w:val="none" w:sz="0" w:space="0" w:color="auto"/>
            <w:right w:val="none" w:sz="0" w:space="0" w:color="auto"/>
          </w:divBdr>
        </w:div>
        <w:div w:id="2095393444">
          <w:marLeft w:val="0"/>
          <w:marRight w:val="0"/>
          <w:marTop w:val="330"/>
          <w:marBottom w:val="0"/>
          <w:divBdr>
            <w:top w:val="none" w:sz="0" w:space="0" w:color="auto"/>
            <w:left w:val="none" w:sz="0" w:space="0" w:color="auto"/>
            <w:bottom w:val="none" w:sz="0" w:space="0" w:color="auto"/>
            <w:right w:val="none" w:sz="0" w:space="0" w:color="auto"/>
          </w:divBdr>
        </w:div>
        <w:div w:id="1902518905">
          <w:marLeft w:val="0"/>
          <w:marRight w:val="0"/>
          <w:marTop w:val="330"/>
          <w:marBottom w:val="0"/>
          <w:divBdr>
            <w:top w:val="none" w:sz="0" w:space="0" w:color="auto"/>
            <w:left w:val="none" w:sz="0" w:space="0" w:color="auto"/>
            <w:bottom w:val="none" w:sz="0" w:space="0" w:color="auto"/>
            <w:right w:val="none" w:sz="0" w:space="0" w:color="auto"/>
          </w:divBdr>
        </w:div>
        <w:div w:id="2128499601">
          <w:marLeft w:val="0"/>
          <w:marRight w:val="0"/>
          <w:marTop w:val="330"/>
          <w:marBottom w:val="0"/>
          <w:divBdr>
            <w:top w:val="none" w:sz="0" w:space="0" w:color="auto"/>
            <w:left w:val="none" w:sz="0" w:space="0" w:color="auto"/>
            <w:bottom w:val="none" w:sz="0" w:space="0" w:color="auto"/>
            <w:right w:val="none" w:sz="0" w:space="0" w:color="auto"/>
          </w:divBdr>
        </w:div>
      </w:divsChild>
    </w:div>
    <w:div w:id="1944217670">
      <w:bodyDiv w:val="1"/>
      <w:marLeft w:val="0"/>
      <w:marRight w:val="0"/>
      <w:marTop w:val="0"/>
      <w:marBottom w:val="0"/>
      <w:divBdr>
        <w:top w:val="none" w:sz="0" w:space="0" w:color="auto"/>
        <w:left w:val="none" w:sz="0" w:space="0" w:color="auto"/>
        <w:bottom w:val="none" w:sz="0" w:space="0" w:color="auto"/>
        <w:right w:val="none" w:sz="0" w:space="0" w:color="auto"/>
      </w:divBdr>
    </w:div>
    <w:div w:id="1988198160">
      <w:bodyDiv w:val="1"/>
      <w:marLeft w:val="0"/>
      <w:marRight w:val="0"/>
      <w:marTop w:val="0"/>
      <w:marBottom w:val="0"/>
      <w:divBdr>
        <w:top w:val="none" w:sz="0" w:space="0" w:color="auto"/>
        <w:left w:val="none" w:sz="0" w:space="0" w:color="auto"/>
        <w:bottom w:val="none" w:sz="0" w:space="0" w:color="auto"/>
        <w:right w:val="none" w:sz="0" w:space="0" w:color="auto"/>
      </w:divBdr>
    </w:div>
    <w:div w:id="1992323677">
      <w:bodyDiv w:val="1"/>
      <w:marLeft w:val="0"/>
      <w:marRight w:val="0"/>
      <w:marTop w:val="0"/>
      <w:marBottom w:val="0"/>
      <w:divBdr>
        <w:top w:val="none" w:sz="0" w:space="0" w:color="auto"/>
        <w:left w:val="none" w:sz="0" w:space="0" w:color="auto"/>
        <w:bottom w:val="none" w:sz="0" w:space="0" w:color="auto"/>
        <w:right w:val="none" w:sz="0" w:space="0" w:color="auto"/>
      </w:divBdr>
    </w:div>
    <w:div w:id="2043356647">
      <w:bodyDiv w:val="1"/>
      <w:marLeft w:val="0"/>
      <w:marRight w:val="0"/>
      <w:marTop w:val="0"/>
      <w:marBottom w:val="0"/>
      <w:divBdr>
        <w:top w:val="none" w:sz="0" w:space="0" w:color="auto"/>
        <w:left w:val="none" w:sz="0" w:space="0" w:color="auto"/>
        <w:bottom w:val="none" w:sz="0" w:space="0" w:color="auto"/>
        <w:right w:val="none" w:sz="0" w:space="0" w:color="auto"/>
      </w:divBdr>
      <w:divsChild>
        <w:div w:id="1126319316">
          <w:marLeft w:val="0"/>
          <w:marRight w:val="0"/>
          <w:marTop w:val="330"/>
          <w:marBottom w:val="0"/>
          <w:divBdr>
            <w:top w:val="none" w:sz="0" w:space="0" w:color="auto"/>
            <w:left w:val="none" w:sz="0" w:space="0" w:color="auto"/>
            <w:bottom w:val="none" w:sz="0" w:space="0" w:color="auto"/>
            <w:right w:val="none" w:sz="0" w:space="0" w:color="auto"/>
          </w:divBdr>
        </w:div>
        <w:div w:id="91626789">
          <w:marLeft w:val="0"/>
          <w:marRight w:val="0"/>
          <w:marTop w:val="330"/>
          <w:marBottom w:val="0"/>
          <w:divBdr>
            <w:top w:val="none" w:sz="0" w:space="0" w:color="auto"/>
            <w:left w:val="none" w:sz="0" w:space="0" w:color="auto"/>
            <w:bottom w:val="none" w:sz="0" w:space="0" w:color="auto"/>
            <w:right w:val="none" w:sz="0" w:space="0" w:color="auto"/>
          </w:divBdr>
        </w:div>
        <w:div w:id="883100542">
          <w:marLeft w:val="0"/>
          <w:marRight w:val="0"/>
          <w:marTop w:val="330"/>
          <w:marBottom w:val="0"/>
          <w:divBdr>
            <w:top w:val="none" w:sz="0" w:space="0" w:color="auto"/>
            <w:left w:val="none" w:sz="0" w:space="0" w:color="auto"/>
            <w:bottom w:val="none" w:sz="0" w:space="0" w:color="auto"/>
            <w:right w:val="none" w:sz="0" w:space="0" w:color="auto"/>
          </w:divBdr>
        </w:div>
      </w:divsChild>
    </w:div>
    <w:div w:id="2046564168">
      <w:bodyDiv w:val="1"/>
      <w:marLeft w:val="0"/>
      <w:marRight w:val="0"/>
      <w:marTop w:val="0"/>
      <w:marBottom w:val="0"/>
      <w:divBdr>
        <w:top w:val="none" w:sz="0" w:space="0" w:color="auto"/>
        <w:left w:val="none" w:sz="0" w:space="0" w:color="auto"/>
        <w:bottom w:val="none" w:sz="0" w:space="0" w:color="auto"/>
        <w:right w:val="none" w:sz="0" w:space="0" w:color="auto"/>
      </w:divBdr>
    </w:div>
    <w:div w:id="2084637705">
      <w:bodyDiv w:val="1"/>
      <w:marLeft w:val="0"/>
      <w:marRight w:val="0"/>
      <w:marTop w:val="0"/>
      <w:marBottom w:val="0"/>
      <w:divBdr>
        <w:top w:val="none" w:sz="0" w:space="0" w:color="auto"/>
        <w:left w:val="none" w:sz="0" w:space="0" w:color="auto"/>
        <w:bottom w:val="none" w:sz="0" w:space="0" w:color="auto"/>
        <w:right w:val="none" w:sz="0" w:space="0" w:color="auto"/>
      </w:divBdr>
      <w:divsChild>
        <w:div w:id="28378173">
          <w:marLeft w:val="0"/>
          <w:marRight w:val="0"/>
          <w:marTop w:val="330"/>
          <w:marBottom w:val="0"/>
          <w:divBdr>
            <w:top w:val="none" w:sz="0" w:space="0" w:color="auto"/>
            <w:left w:val="none" w:sz="0" w:space="0" w:color="auto"/>
            <w:bottom w:val="none" w:sz="0" w:space="0" w:color="auto"/>
            <w:right w:val="none" w:sz="0" w:space="0" w:color="auto"/>
          </w:divBdr>
        </w:div>
        <w:div w:id="324865404">
          <w:marLeft w:val="0"/>
          <w:marRight w:val="0"/>
          <w:marTop w:val="330"/>
          <w:marBottom w:val="0"/>
          <w:divBdr>
            <w:top w:val="none" w:sz="0" w:space="0" w:color="auto"/>
            <w:left w:val="none" w:sz="0" w:space="0" w:color="auto"/>
            <w:bottom w:val="none" w:sz="0" w:space="0" w:color="auto"/>
            <w:right w:val="none" w:sz="0" w:space="0" w:color="auto"/>
          </w:divBdr>
        </w:div>
        <w:div w:id="1681851999">
          <w:marLeft w:val="0"/>
          <w:marRight w:val="0"/>
          <w:marTop w:val="330"/>
          <w:marBottom w:val="0"/>
          <w:divBdr>
            <w:top w:val="none" w:sz="0" w:space="0" w:color="auto"/>
            <w:left w:val="none" w:sz="0" w:space="0" w:color="auto"/>
            <w:bottom w:val="none" w:sz="0" w:space="0" w:color="auto"/>
            <w:right w:val="none" w:sz="0" w:space="0" w:color="auto"/>
          </w:divBdr>
        </w:div>
      </w:divsChild>
    </w:div>
    <w:div w:id="20925807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tuliu.com/tags/545.html" TargetMode="External"/><Relationship Id="rId3" Type="http://schemas.openxmlformats.org/officeDocument/2006/relationships/settings" Target="settings.xml"/><Relationship Id="rId7" Type="http://schemas.openxmlformats.org/officeDocument/2006/relationships/hyperlink" Target="https://m.tuliu.com/tags/1599.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tuliu.com/tags/31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13</Pages>
  <Words>1312</Words>
  <Characters>7484</Characters>
  <Application>Microsoft Office Word</Application>
  <DocSecurity>0</DocSecurity>
  <Lines>62</Lines>
  <Paragraphs>17</Paragraphs>
  <ScaleCrop>false</ScaleCrop>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chuanbao wang</dc:creator>
  <cp:lastModifiedBy>chuanbao wang</cp:lastModifiedBy>
  <cp:revision>105</cp:revision>
  <dcterms:created xsi:type="dcterms:W3CDTF">2019-01-24T09:08:00Z</dcterms:created>
  <dcterms:modified xsi:type="dcterms:W3CDTF">2021-04-09T06:00:00Z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