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18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bookmarkStart w:id="0" w:name="_Toc153102336"/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让数据说话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课程目的：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让非财务管理人员迅速掌握财务工具；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读懂财务报表，学习运用财务工具经营企业；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利用财务信息有效地改进管理决策；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为公司提供开源节流、控制成本的依据；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以丰富的案例和实践机会提升学员分析和解决问题的能力；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使公司的财务与非财务管理有机的整合起来。</w:t>
      </w:r>
    </w:p>
    <w:p>
      <w:pPr>
        <w:widowControl w:val="0"/>
        <w:spacing w:line="360" w:lineRule="exact"/>
        <w:jc w:val="both"/>
        <w:rPr>
          <w:rFonts w:hint="eastAsia" w:ascii="宋体" w:hAnsi="宋体"/>
          <w:bCs/>
          <w:sz w:val="21"/>
          <w:szCs w:val="21"/>
        </w:rPr>
      </w:pP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课程大纲：</w:t>
      </w:r>
    </w:p>
    <w:p>
      <w:pPr>
        <w:shd w:val="clear" w:color="auto" w:fill="59B1F9"/>
        <w:spacing w:line="360" w:lineRule="auto"/>
        <w:rPr>
          <w:rFonts w:ascii="黑体" w:eastAsia="黑体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 xml:space="preserve">管理人员应具备的大财务理念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会计要素观念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会计政策观念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契约制度观念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现金流量观念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时间价值理念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内部控制理念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成本效益理念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预算管理理念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财务人才理念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税务筹划理念 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 xml:space="preserve">财务报表的阅读与分析 </w:t>
      </w:r>
    </w:p>
    <w:p>
      <w:pPr>
        <w:spacing w:line="360" w:lineRule="exact"/>
        <w:ind w:left="420" w:firstLine="480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在读懂财务报表的基础上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hint="eastAsia" w:ascii="宋体" w:hAnsi="宋体" w:cs="宋体"/>
          <w:color w:val="000000"/>
          <w:sz w:val="21"/>
          <w:szCs w:val="21"/>
        </w:rPr>
        <w:t>学会分析报表</w:t>
      </w:r>
      <w:r>
        <w:rPr>
          <w:rFonts w:ascii="宋体" w:hAnsi="宋体" w:cs="宋体"/>
          <w:color w:val="000000"/>
          <w:sz w:val="21"/>
          <w:szCs w:val="21"/>
        </w:rPr>
        <w:t xml:space="preserve">, </w:t>
      </w:r>
      <w:r>
        <w:rPr>
          <w:rFonts w:hint="eastAsia" w:ascii="宋体" w:hAnsi="宋体" w:cs="宋体"/>
          <w:color w:val="000000"/>
          <w:sz w:val="21"/>
          <w:szCs w:val="21"/>
        </w:rPr>
        <w:t>尝试</w:t>
      </w:r>
      <w:r>
        <w:rPr>
          <w:rFonts w:ascii="宋体" w:hAnsi="宋体" w:cs="宋体"/>
          <w:color w:val="000000"/>
          <w:sz w:val="21"/>
          <w:szCs w:val="21"/>
        </w:rPr>
        <w:t>beyond the number</w:t>
      </w:r>
      <w:r>
        <w:rPr>
          <w:rFonts w:hint="eastAsia" w:ascii="宋体" w:hAnsi="宋体" w:cs="宋体"/>
          <w:color w:val="000000"/>
          <w:sz w:val="21"/>
          <w:szCs w:val="21"/>
        </w:rPr>
        <w:t>——透过“报表和数据”，看出企业资产结构中和经营中所存在的问题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认识财物报表</w:t>
      </w:r>
    </w:p>
    <w:p>
      <w:pPr>
        <w:widowControl w:val="0"/>
        <w:numPr>
          <w:ilvl w:val="3"/>
          <w:numId w:val="2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损益表</w:t>
      </w:r>
    </w:p>
    <w:p>
      <w:pPr>
        <w:widowControl w:val="0"/>
        <w:numPr>
          <w:ilvl w:val="3"/>
          <w:numId w:val="2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资产负债表</w:t>
      </w:r>
    </w:p>
    <w:p>
      <w:pPr>
        <w:widowControl w:val="0"/>
        <w:numPr>
          <w:ilvl w:val="3"/>
          <w:numId w:val="2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现金流量表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阅读财物报表之基本技巧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财物报表之基本分析</w:t>
      </w:r>
    </w:p>
    <w:p>
      <w:pPr>
        <w:widowControl w:val="0"/>
        <w:numPr>
          <w:ilvl w:val="3"/>
          <w:numId w:val="2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获利力分析</w:t>
      </w:r>
    </w:p>
    <w:p>
      <w:pPr>
        <w:widowControl w:val="0"/>
        <w:numPr>
          <w:ilvl w:val="3"/>
          <w:numId w:val="2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成长力分析</w:t>
      </w:r>
    </w:p>
    <w:p>
      <w:pPr>
        <w:widowControl w:val="0"/>
        <w:numPr>
          <w:ilvl w:val="3"/>
          <w:numId w:val="2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稳定力分析</w:t>
      </w:r>
    </w:p>
    <w:p>
      <w:pPr>
        <w:widowControl w:val="0"/>
        <w:numPr>
          <w:ilvl w:val="3"/>
          <w:numId w:val="2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周转力分析</w:t>
      </w:r>
    </w:p>
    <w:p>
      <w:pPr>
        <w:widowControl w:val="0"/>
        <w:numPr>
          <w:ilvl w:val="3"/>
          <w:numId w:val="2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经营力分析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>公司总体财务状况评价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营运结果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资产分配现况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债务分配状况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投资者分配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现金掌控情况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>审计报告阅读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审计报告阅读技巧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审计报告阅读重点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审计报告阅读注意事项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 xml:space="preserve">非财务经理如何利用财务信息进行企业管理决策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高管人员与现金流量管理要诀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高管人员目标利润与预算管理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高管人员与成本效益管理 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 xml:space="preserve">如何做一个会赚钱的领导者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将成本剔之至骨的方法 </w:t>
      </w:r>
    </w:p>
    <w:p>
      <w:pPr>
        <w:widowControl w:val="0"/>
        <w:numPr>
          <w:ilvl w:val="3"/>
          <w:numId w:val="2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成本与费用控制的原则</w:t>
      </w:r>
    </w:p>
    <w:p>
      <w:pPr>
        <w:widowControl w:val="0"/>
        <w:numPr>
          <w:ilvl w:val="3"/>
          <w:numId w:val="2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成本与费用控制方法</w:t>
      </w:r>
    </w:p>
    <w:p>
      <w:pPr>
        <w:widowControl w:val="0"/>
        <w:numPr>
          <w:ilvl w:val="4"/>
          <w:numId w:val="3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制度控制</w:t>
      </w:r>
    </w:p>
    <w:p>
      <w:pPr>
        <w:widowControl w:val="0"/>
        <w:numPr>
          <w:ilvl w:val="4"/>
          <w:numId w:val="3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目标控制</w:t>
      </w:r>
    </w:p>
    <w:p>
      <w:pPr>
        <w:widowControl w:val="0"/>
        <w:numPr>
          <w:ilvl w:val="4"/>
          <w:numId w:val="3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定额控制</w:t>
      </w:r>
    </w:p>
    <w:p>
      <w:pPr>
        <w:widowControl w:val="0"/>
        <w:numPr>
          <w:ilvl w:val="4"/>
          <w:numId w:val="3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计划控制</w:t>
      </w:r>
    </w:p>
    <w:p>
      <w:pPr>
        <w:widowControl w:val="0"/>
        <w:numPr>
          <w:ilvl w:val="4"/>
          <w:numId w:val="3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责任控制</w:t>
      </w:r>
    </w:p>
    <w:p>
      <w:pPr>
        <w:widowControl w:val="0"/>
        <w:numPr>
          <w:ilvl w:val="4"/>
          <w:numId w:val="3"/>
        </w:numPr>
        <w:adjustRightInd w:val="0"/>
        <w:spacing w:line="360" w:lineRule="exact"/>
        <w:textAlignment w:val="baseline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内部控制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将销售推向极致的方法 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创造利润挂帅的企业文化的方法 </w:t>
      </w:r>
    </w:p>
    <w:p>
      <w:pPr>
        <w:sectPr>
          <w:headerReference r:id="rId9" w:type="default"/>
          <w:footerReference r:id="rId10" w:type="default"/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bookmarkEnd w:id="0"/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6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37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1"/>
        <w:szCs w:val="21"/>
      </w:rPr>
    </w:pPr>
    <w:r>
      <w:rPr>
        <w:sz w:val="21"/>
        <w:szCs w:val="21"/>
      </w:rPr>
      <w:t xml:space="preserve">-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sz w:val="21"/>
        <w:szCs w:val="21"/>
      </w:rPr>
      <w:t>7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9187A"/>
    <w:multiLevelType w:val="multilevel"/>
    <w:tmpl w:val="2779187A"/>
    <w:lvl w:ilvl="0" w:tentative="0">
      <w:start w:val="1"/>
      <w:numFmt w:val="bullet"/>
      <w:lvlText w:val=""/>
      <w:lvlJc w:val="left"/>
      <w:pPr>
        <w:tabs>
          <w:tab w:val="left" w:pos="420"/>
        </w:tabs>
        <w:ind w:left="420" w:hanging="420"/>
      </w:pPr>
      <w:rPr>
        <w:rFonts w:hint="default" w:ascii="Symbol" w:hAnsi="Symbol"/>
        <w:sz w:val="28"/>
        <w:szCs w:val="28"/>
      </w:rPr>
    </w:lvl>
    <w:lvl w:ilvl="1" w:tentative="0">
      <w:start w:val="1"/>
      <w:numFmt w:val="bullet"/>
      <w:lvlText w:val="◇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宋体"/>
      </w:rPr>
    </w:lvl>
    <w:lvl w:ilvl="2" w:tentative="0">
      <w:start w:val="1"/>
      <w:numFmt w:val="bullet"/>
      <w:lvlText w:val="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</w:abstractNum>
  <w:abstractNum w:abstractNumId="1">
    <w:nsid w:val="32D43F35"/>
    <w:multiLevelType w:val="multilevel"/>
    <w:tmpl w:val="32D43F35"/>
    <w:lvl w:ilvl="0" w:tentative="0">
      <w:start w:val="1"/>
      <w:numFmt w:val="bullet"/>
      <w:lvlText w:val=""/>
      <w:lvlJc w:val="left"/>
      <w:pPr>
        <w:tabs>
          <w:tab w:val="left" w:pos="420"/>
        </w:tabs>
        <w:ind w:left="420" w:hanging="420"/>
      </w:pPr>
      <w:rPr>
        <w:rFonts w:hint="default" w:ascii="Symbol" w:hAnsi="Symbol"/>
        <w:sz w:val="28"/>
        <w:szCs w:val="28"/>
      </w:rPr>
    </w:lvl>
    <w:lvl w:ilvl="1" w:tentative="0">
      <w:start w:val="1"/>
      <w:numFmt w:val="bullet"/>
      <w:lvlText w:val="◇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宋体"/>
      </w:rPr>
    </w:lvl>
    <w:lvl w:ilvl="2" w:tentative="0">
      <w:start w:val="1"/>
      <w:numFmt w:val="bullet"/>
      <w:lvlText w:val="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sz w:val="28"/>
        <w:szCs w:val="28"/>
      </w:rPr>
    </w:lvl>
    <w:lvl w:ilvl="3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4" w:tentative="0">
      <w:start w:val="2"/>
      <w:numFmt w:val="bullet"/>
      <w:lvlText w:val="-"/>
      <w:lvlJc w:val="left"/>
      <w:pPr>
        <w:tabs>
          <w:tab w:val="left" w:pos="1620"/>
        </w:tabs>
        <w:ind w:left="1620" w:hanging="360"/>
      </w:pPr>
      <w:rPr>
        <w:rFonts w:hint="eastAsia" w:ascii="宋体" w:hAnsi="宋体" w:eastAsia="宋体" w:cs="宋体"/>
      </w:rPr>
    </w:lvl>
    <w:lvl w:ilvl="5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</w:abstractNum>
  <w:abstractNum w:abstractNumId="2">
    <w:nsid w:val="7CBC7FC9"/>
    <w:multiLevelType w:val="multilevel"/>
    <w:tmpl w:val="7CBC7FC9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3"/>
      <w:numFmt w:val="bullet"/>
      <w:lvlText w:val="-"/>
      <w:lvlJc w:val="left"/>
      <w:pPr>
        <w:tabs>
          <w:tab w:val="left" w:pos="780"/>
        </w:tabs>
        <w:ind w:left="780" w:hanging="360"/>
      </w:pPr>
      <w:rPr>
        <w:rFonts w:hint="eastAsia" w:ascii="宋体" w:hAnsi="宋体" w:eastAsia="宋体" w:cs="Times New Roman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3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2021-08-05T05:21:36Z</dcterms:created>
  <dc:creator>shizi06</dc:creator>
  <cp:lastModifiedBy>蓉儿</cp:lastModifiedBy>
  <dcterms:modified xsi:type="dcterms:W3CDTF">2021-08-05T05:21:45Z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52AAC19D8FE74ECDB9E7CC3038890793</vt:lpwstr>
  </property>
</Properties>
</file>