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3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全面预算管理与控制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明确全面预算管理的组织机构，了解全面预算管理的程序和流程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掌握各部门预算编制要点，学会预算执行与管理方法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实施全面预算管理掌握依据预算对责任单位和个人进行考核的方法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简要大纲：</w:t>
      </w:r>
    </w:p>
    <w:p>
      <w:pPr>
        <w:spacing w:line="400" w:lineRule="exact"/>
        <w:rPr>
          <w:rFonts w:ascii="宋体" w:hAnsi="宋体" w:cs="宋体"/>
          <w:b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 xml:space="preserve"> (</w:t>
      </w:r>
      <w:r>
        <w:rPr>
          <w:rFonts w:hint="eastAsia" w:ascii="宋体" w:hAnsi="宋体" w:cs="宋体"/>
          <w:b/>
          <w:sz w:val="21"/>
          <w:szCs w:val="21"/>
        </w:rPr>
        <w:t>一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全面预算管理的内涵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预算的重要性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全面预算的四个循环管理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经营计划的制定要点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财务人员在预算制定中的角色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部门主管在预算制定中的角色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KPI(</w:t>
      </w:r>
      <w:r>
        <w:rPr>
          <w:rFonts w:hint="eastAsia" w:ascii="宋体" w:hAnsi="宋体"/>
          <w:sz w:val="21"/>
          <w:szCs w:val="21"/>
        </w:rPr>
        <w:t>关键绩效指标</w:t>
      </w:r>
      <w:r>
        <w:rPr>
          <w:rFonts w:ascii="宋体" w:hAnsi="宋体"/>
          <w:sz w:val="21"/>
          <w:szCs w:val="21"/>
        </w:rPr>
        <w:t>)</w:t>
      </w:r>
      <w:r>
        <w:rPr>
          <w:rFonts w:hint="eastAsia" w:ascii="宋体" w:hAnsi="宋体"/>
          <w:sz w:val="21"/>
          <w:szCs w:val="21"/>
        </w:rPr>
        <w:t>制订方法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>(</w:t>
      </w:r>
      <w:r>
        <w:rPr>
          <w:rFonts w:hint="eastAsia" w:ascii="宋体" w:hAnsi="宋体" w:cs="宋体"/>
          <w:b/>
          <w:sz w:val="21"/>
          <w:szCs w:val="21"/>
        </w:rPr>
        <w:t>二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预算概论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如何提高预算审核的效率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财务摘要制定的要点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预算何时修订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报送管理层审批时注意几个问题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关于预算的几个误区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 xml:space="preserve"> (</w:t>
      </w:r>
      <w:r>
        <w:rPr>
          <w:rFonts w:hint="eastAsia" w:ascii="宋体" w:hAnsi="宋体" w:cs="宋体"/>
          <w:b/>
          <w:sz w:val="21"/>
          <w:szCs w:val="21"/>
        </w:rPr>
        <w:t>三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预算的执行与控制</w:t>
      </w:r>
    </w:p>
    <w:p>
      <w:pPr>
        <w:numPr>
          <w:ilvl w:val="0"/>
          <w:numId w:val="3"/>
        </w:numPr>
        <w:spacing w:line="360" w:lineRule="exact"/>
        <w:rPr>
          <w:rStyle w:val="8"/>
          <w:rFonts w:hint="eastAsia" w:ascii="宋体" w:hAnsi="宋体"/>
          <w:b/>
          <w:bCs/>
          <w:sz w:val="21"/>
          <w:szCs w:val="21"/>
        </w:rPr>
      </w:pPr>
      <w:r>
        <w:rPr>
          <w:rStyle w:val="8"/>
          <w:rFonts w:hint="eastAsia" w:ascii="宋体" w:hAnsi="宋体"/>
          <w:b/>
          <w:bCs/>
          <w:sz w:val="21"/>
          <w:szCs w:val="21"/>
        </w:rPr>
        <w:t>成本分析与跟踪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保本点跟踪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Style w:val="8"/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成本习性深刻分析</w:t>
      </w:r>
      <w:r>
        <w:rPr>
          <w:rStyle w:val="8"/>
          <w:rFonts w:ascii="宋体" w:hAnsi="宋体"/>
          <w:sz w:val="21"/>
          <w:szCs w:val="21"/>
        </w:rPr>
        <w:t>:</w:t>
      </w:r>
      <w:r>
        <w:rPr>
          <w:rStyle w:val="8"/>
          <w:rFonts w:hint="eastAsia" w:ascii="宋体" w:hAnsi="宋体"/>
          <w:sz w:val="21"/>
          <w:szCs w:val="21"/>
        </w:rPr>
        <w:t>边际贡献原理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预算差异分析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Style w:val="8"/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企业提高利润的３大杠杆</w:t>
      </w:r>
      <w:r>
        <w:rPr>
          <w:rStyle w:val="8"/>
          <w:rFonts w:ascii="宋体" w:hAnsi="宋体"/>
          <w:sz w:val="21"/>
          <w:szCs w:val="21"/>
        </w:rPr>
        <w:t xml:space="preserve">: 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因素敏感性分析</w:t>
      </w:r>
      <w:r>
        <w:rPr>
          <w:rStyle w:val="8"/>
          <w:rFonts w:ascii="宋体" w:hAnsi="宋体"/>
          <w:sz w:val="21"/>
          <w:szCs w:val="21"/>
        </w:rPr>
        <w:t xml:space="preserve">: </w:t>
      </w:r>
      <w:r>
        <w:rPr>
          <w:rStyle w:val="8"/>
          <w:rFonts w:hint="eastAsia" w:ascii="宋体" w:hAnsi="宋体"/>
          <w:sz w:val="21"/>
          <w:szCs w:val="21"/>
        </w:rPr>
        <w:t>产品获利能力成本分析</w:t>
      </w:r>
    </w:p>
    <w:p>
      <w:pPr>
        <w:numPr>
          <w:ilvl w:val="0"/>
          <w:numId w:val="3"/>
        </w:numPr>
        <w:spacing w:line="360" w:lineRule="exact"/>
        <w:rPr>
          <w:rStyle w:val="8"/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成本中心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Style w:val="8"/>
          <w:rFonts w:hint="eastAsia" w:ascii="宋体" w:hAnsi="宋体"/>
          <w:sz w:val="21"/>
          <w:szCs w:val="21"/>
        </w:rPr>
        <w:t>成本控制点</w:t>
      </w:r>
      <w:r>
        <w:rPr>
          <w:rFonts w:hint="eastAsia" w:ascii="宋体" w:hAnsi="宋体"/>
          <w:sz w:val="21"/>
          <w:szCs w:val="21"/>
        </w:rPr>
        <w:t>营销费用的控制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一般管理费用的控制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 xml:space="preserve"> (</w:t>
      </w:r>
      <w:r>
        <w:rPr>
          <w:rFonts w:hint="eastAsia" w:ascii="宋体" w:hAnsi="宋体" w:cs="宋体"/>
          <w:b/>
          <w:sz w:val="21"/>
          <w:szCs w:val="21"/>
        </w:rPr>
        <w:t>四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经营预算与财务预算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预算的六种不同编制方法</w:t>
      </w:r>
      <w:r>
        <w:rPr>
          <w:rFonts w:ascii="宋体" w:hAnsi="宋体"/>
          <w:sz w:val="21"/>
          <w:szCs w:val="21"/>
        </w:rPr>
        <w:t>: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固定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弹性预算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零基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现基预算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定值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概率预算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定期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滚动预算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目标成本预算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责任中心预算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 “</w:t>
      </w:r>
      <w:r>
        <w:rPr>
          <w:rFonts w:hint="eastAsia" w:ascii="宋体" w:hAnsi="宋体"/>
          <w:sz w:val="21"/>
          <w:szCs w:val="21"/>
        </w:rPr>
        <w:t>自下而上</w:t>
      </w:r>
      <w:r>
        <w:rPr>
          <w:rFonts w:ascii="宋体" w:hAnsi="宋体"/>
          <w:sz w:val="21"/>
          <w:szCs w:val="21"/>
        </w:rPr>
        <w:t>”</w:t>
      </w:r>
      <w:r>
        <w:rPr>
          <w:rFonts w:hint="eastAsia" w:ascii="宋体" w:hAnsi="宋体"/>
          <w:sz w:val="21"/>
          <w:szCs w:val="21"/>
        </w:rPr>
        <w:t>与</w:t>
      </w:r>
      <w:r>
        <w:rPr>
          <w:rFonts w:ascii="宋体" w:hAnsi="宋体"/>
          <w:sz w:val="21"/>
          <w:szCs w:val="21"/>
        </w:rPr>
        <w:t>”</w:t>
      </w:r>
      <w:r>
        <w:rPr>
          <w:rFonts w:hint="eastAsia" w:ascii="宋体" w:hAnsi="宋体"/>
          <w:sz w:val="21"/>
          <w:szCs w:val="21"/>
        </w:rPr>
        <w:t>自上而下</w:t>
      </w:r>
      <w:r>
        <w:rPr>
          <w:rFonts w:ascii="宋体" w:hAnsi="宋体"/>
          <w:sz w:val="21"/>
          <w:szCs w:val="21"/>
        </w:rPr>
        <w:t>”</w:t>
      </w:r>
      <w:r>
        <w:rPr>
          <w:rFonts w:hint="eastAsia" w:ascii="宋体" w:hAnsi="宋体"/>
          <w:sz w:val="21"/>
          <w:szCs w:val="21"/>
        </w:rPr>
        <w:t>的不同使用方法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 xml:space="preserve"> (</w:t>
      </w:r>
      <w:r>
        <w:rPr>
          <w:rFonts w:hint="eastAsia" w:ascii="宋体" w:hAnsi="宋体" w:cs="宋体"/>
          <w:b/>
          <w:sz w:val="21"/>
          <w:szCs w:val="21"/>
        </w:rPr>
        <w:t>五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自上而下篇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年度战略的制定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预算的编制流程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预算委员会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小组的作用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目标分解的方法</w:t>
      </w:r>
      <w:r>
        <w:rPr>
          <w:rFonts w:ascii="宋体" w:hAnsi="宋体"/>
          <w:sz w:val="21"/>
          <w:szCs w:val="21"/>
        </w:rPr>
        <w:t>: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销售预算的编制要点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市场预算的编制要点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生产预算的编制要点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采购预算的编制要点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研发预算的编制要点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固定资产预算的编制要点</w:t>
      </w:r>
    </w:p>
    <w:p>
      <w:pPr>
        <w:widowControl w:val="0"/>
        <w:numPr>
          <w:ilvl w:val="0"/>
          <w:numId w:val="4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管理费用的编制要点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 xml:space="preserve"> (</w:t>
      </w:r>
      <w:r>
        <w:rPr>
          <w:rFonts w:hint="eastAsia" w:ascii="宋体" w:hAnsi="宋体" w:cs="宋体"/>
          <w:b/>
          <w:sz w:val="21"/>
          <w:szCs w:val="21"/>
        </w:rPr>
        <w:t>六</w:t>
      </w:r>
      <w:r>
        <w:rPr>
          <w:rFonts w:ascii="宋体" w:hAnsi="宋体" w:cs="宋体"/>
          <w:b/>
          <w:sz w:val="21"/>
          <w:szCs w:val="21"/>
        </w:rPr>
        <w:t xml:space="preserve">) </w:t>
      </w:r>
      <w:r>
        <w:rPr>
          <w:rFonts w:hint="eastAsia" w:ascii="宋体" w:hAnsi="宋体" w:cs="宋体"/>
          <w:b/>
          <w:sz w:val="21"/>
          <w:szCs w:val="21"/>
        </w:rPr>
        <w:t>自下而上篇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组织机构的调整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预算前的准备工作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销售人员的预测足以信赖吗</w:t>
      </w:r>
      <w:r>
        <w:rPr>
          <w:rFonts w:ascii="宋体" w:hAnsi="宋体"/>
          <w:sz w:val="21"/>
          <w:szCs w:val="21"/>
        </w:rPr>
        <w:t>?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销售预测的定性与定量分析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销售预测常见问题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市场调研的内容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低成本战略应用中的问题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>(</w:t>
      </w:r>
      <w:r>
        <w:rPr>
          <w:rFonts w:hint="eastAsia" w:ascii="宋体" w:hAnsi="宋体" w:cs="宋体"/>
          <w:b/>
          <w:sz w:val="21"/>
          <w:szCs w:val="21"/>
        </w:rPr>
        <w:t>七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预算控制与绩效考核评价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考评指标制定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部门与经理的考核标准是一致吗</w:t>
      </w:r>
      <w:r>
        <w:rPr>
          <w:rFonts w:ascii="宋体" w:hAnsi="宋体"/>
          <w:sz w:val="21"/>
          <w:szCs w:val="21"/>
        </w:rPr>
        <w:t>?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考评体系的设计点</w:t>
      </w:r>
    </w:p>
    <w:p>
      <w:pPr>
        <w:spacing w:line="360" w:lineRule="exact"/>
        <w:rPr>
          <w:rFonts w:hint="eastAsia" w:ascii="宋体" w:hAnsi="宋体" w:cs="宋体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>(</w:t>
      </w:r>
      <w:r>
        <w:rPr>
          <w:rFonts w:hint="eastAsia" w:ascii="宋体" w:hAnsi="宋体" w:cs="宋体"/>
          <w:b/>
          <w:sz w:val="21"/>
          <w:szCs w:val="21"/>
        </w:rPr>
        <w:t>八</w:t>
      </w:r>
      <w:r>
        <w:rPr>
          <w:rFonts w:ascii="宋体" w:hAnsi="宋体" w:cs="宋体"/>
          <w:b/>
          <w:sz w:val="21"/>
          <w:szCs w:val="21"/>
        </w:rPr>
        <w:t>)</w:t>
      </w:r>
      <w:r>
        <w:rPr>
          <w:rFonts w:hint="eastAsia" w:ascii="宋体" w:hAnsi="宋体" w:cs="宋体"/>
          <w:b/>
          <w:sz w:val="21"/>
          <w:szCs w:val="21"/>
        </w:rPr>
        <w:t>总结篇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预算管理中经常出现的问题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ascii="宋体" w:hAnsi="宋体"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  <w:r>
        <w:rPr>
          <w:rFonts w:hint="eastAsia" w:ascii="宋体" w:hAnsi="宋体"/>
          <w:sz w:val="21"/>
          <w:szCs w:val="21"/>
        </w:rPr>
        <w:t>全面预算管理的内涵</w:t>
      </w:r>
    </w:p>
    <w:p>
      <w:pPr>
        <w:spacing w:line="380" w:lineRule="exact"/>
        <w:rPr>
          <w:sz w:val="21"/>
          <w:szCs w:val="21"/>
        </w:rPr>
        <w:sectPr>
          <w:headerReference r:id="rId5" w:type="default"/>
          <w:footerReference r:id="rId6" w:type="default"/>
          <w:type w:val="continuous"/>
          <w:pgSz w:w="11906" w:h="16838"/>
          <w:pgMar w:top="1089" w:right="1701" w:bottom="1440" w:left="1758" w:header="851" w:footer="992" w:gutter="0"/>
          <w:cols w:space="425" w:num="2" w:sep="1"/>
          <w:docGrid w:type="lines" w:linePitch="312" w:charSpace="0"/>
        </w:sectPr>
      </w:pPr>
      <w:bookmarkStart w:id="0" w:name="_Toc153102337"/>
    </w:p>
    <w:bookmarkEnd w:id="0"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  <w:r>
      <w:rPr>
        <w:sz w:val="21"/>
        <w:szCs w:val="21"/>
      </w:rPr>
      <w:t xml:space="preserve">-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sz w:val="21"/>
        <w:szCs w:val="21"/>
      </w:rPr>
      <w:t>7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10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7AC9"/>
    <w:multiLevelType w:val="multilevel"/>
    <w:tmpl w:val="01357AC9"/>
    <w:lvl w:ilvl="0" w:tentative="0">
      <w:start w:val="1"/>
      <w:numFmt w:val="bullet"/>
      <w:lvlText w:val=""/>
      <w:lvlJc w:val="left"/>
      <w:pPr>
        <w:tabs>
          <w:tab w:val="left" w:pos="1260"/>
        </w:tabs>
        <w:ind w:left="126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4" w:tentative="0">
      <w:start w:val="0"/>
      <w:numFmt w:val="bullet"/>
      <w:lvlText w:val="-"/>
      <w:lvlJc w:val="left"/>
      <w:pPr>
        <w:tabs>
          <w:tab w:val="left" w:pos="2880"/>
        </w:tabs>
        <w:ind w:left="2880" w:hanging="360"/>
      </w:pPr>
      <w:rPr>
        <w:rFonts w:hint="eastAsia" w:ascii="宋体" w:hAnsi="宋体" w:eastAsia="宋体" w:cs="Times New Roman"/>
      </w:rPr>
    </w:lvl>
    <w:lvl w:ilvl="5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</w:abstractNum>
  <w:abstractNum w:abstractNumId="1">
    <w:nsid w:val="3DD96194"/>
    <w:multiLevelType w:val="multilevel"/>
    <w:tmpl w:val="3DD96194"/>
    <w:lvl w:ilvl="0" w:tentative="0">
      <w:start w:val="1"/>
      <w:numFmt w:val="bullet"/>
      <w:lvlText w:val="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7ECB78A9"/>
    <w:multiLevelType w:val="multilevel"/>
    <w:tmpl w:val="7ECB78A9"/>
    <w:lvl w:ilvl="0" w:tentative="0">
      <w:start w:val="1"/>
      <w:numFmt w:val="bullet"/>
      <w:lvlText w:val="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7B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9p1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2021-08-05T05:21:57Z</dcterms:created>
  <dc:creator>shizi06</dc:creator>
  <cp:lastModifiedBy>蓉儿</cp:lastModifiedBy>
  <dcterms:modified xsi:type="dcterms:W3CDTF">2021-08-05T05:22:44Z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7EDEF9B52A8B413D81A41A2F04708E9A</vt:lpwstr>
  </property>
</Properties>
</file>