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after="240"/>
        <w:ind w:leftChars="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59"/>
      <w:bookmarkStart w:id="1" w:name="_Toc351048325"/>
      <w:r>
        <w:rPr>
          <w:rFonts w:hint="eastAsia" w:ascii="宋体" w:hAnsi="宋体"/>
          <w:i w:val="0"/>
          <w:color w:val="000080"/>
          <w:sz w:val="44"/>
          <w:szCs w:val="44"/>
        </w:rPr>
        <w:t>网点主管营销战略（华尔兹部三步）</w:t>
      </w:r>
      <w:bookmarkEnd w:id="0"/>
      <w:bookmarkEnd w:id="1"/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b/>
          <w:color w:val="0000FF"/>
        </w:rPr>
      </w:pPr>
      <w:r>
        <w:rPr>
          <w:rFonts w:hint="eastAsia" w:ascii="楷体_GB2312" w:hAnsi="宋体" w:eastAsia="楷体_GB2312"/>
          <w:b/>
          <w:color w:val="0000FF"/>
        </w:rPr>
        <w:t>【课程大纲】</w:t>
      </w:r>
    </w:p>
    <w:p>
      <w:pPr>
        <w:widowControl w:val="0"/>
        <w:spacing w:line="460" w:lineRule="exact"/>
        <w:jc w:val="both"/>
        <w:rPr>
          <w:rFonts w:ascii="楷体_GB2312" w:hAnsi="宋体" w:eastAsia="楷体_GB231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9"/>
        <w:adjustRightInd w:val="0"/>
        <w:snapToGrid w:val="0"/>
        <w:spacing w:before="120" w:beforeLines="50" w:after="0" w:line="360" w:lineRule="auto"/>
        <w:ind w:left="504" w:leftChars="9"/>
        <w:rPr>
          <w:rFonts w:hint="eastAsia" w:ascii="宋体" w:hAnsi="宋体" w:eastAsia="宋体"/>
          <w:b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sz w:val="21"/>
          <w:szCs w:val="21"/>
          <w:lang w:eastAsia="zh-CN"/>
        </w:rPr>
        <w:t>一：营销业务与客户战略</w:t>
      </w:r>
    </w:p>
    <w:p>
      <w:pPr>
        <w:pStyle w:val="10"/>
        <w:numPr>
          <w:ilvl w:val="0"/>
          <w:numId w:val="3"/>
        </w:numPr>
        <w:spacing w:before="0"/>
        <w:jc w:val="both"/>
        <w:rPr>
          <w:rFonts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从跑单员到企业理财顾问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大金融环境认知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新经济政策解读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人民币利率影响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新型公司理财产品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投行产品</w:t>
      </w:r>
    </w:p>
    <w:p>
      <w:pPr>
        <w:pStyle w:val="5"/>
        <w:spacing w:after="0" w:line="340" w:lineRule="exact"/>
        <w:ind w:left="357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中航油、国储铜事件思考</w:t>
      </w:r>
    </w:p>
    <w:p>
      <w:pPr>
        <w:pStyle w:val="11"/>
        <w:jc w:val="both"/>
        <w:rPr>
          <w:rFonts w:hint="eastAsia" w:ascii="宋体" w:hAnsi="宋体"/>
          <w:b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客户经理的实质就是渠道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战略性目标客户定位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战略性开发理念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客户战略发展轨迹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战略性开发步骤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客户业务运营模式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客户竞争情况与战略目标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客户业务定位与业务流程</w:t>
      </w:r>
    </w:p>
    <w:p>
      <w:pPr>
        <w:pStyle w:val="5"/>
        <w:spacing w:after="0" w:line="340" w:lineRule="exact"/>
        <w:ind w:left="357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如何确定、筛选优势行业和目标客户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机会识别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战略问题与潜在业务问题排序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客户业务规划与挑战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企业需求升级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理念先行引发机会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企业五围分析</w:t>
      </w:r>
    </w:p>
    <w:p>
      <w:pPr>
        <w:pStyle w:val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管理、销售、融资、采购、理财</w:t>
      </w:r>
    </w:p>
    <w:p>
      <w:pPr>
        <w:pStyle w:val="10"/>
        <w:numPr>
          <w:ilvl w:val="0"/>
          <w:numId w:val="3"/>
        </w:numPr>
        <w:jc w:val="both"/>
        <w:rPr>
          <w:rFonts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价值匹配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企业经营价值模型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价值的动态交叉影响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系统的解决方案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方案与经营的价值匹配</w:t>
      </w:r>
    </w:p>
    <w:p>
      <w:pPr>
        <w:pStyle w:val="5"/>
        <w:spacing w:after="0" w:line="340" w:lineRule="exact"/>
        <w:ind w:left="357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营销业务产品组合策略</w:t>
      </w:r>
    </w:p>
    <w:p>
      <w:pPr>
        <w:pStyle w:val="10"/>
        <w:numPr>
          <w:ilvl w:val="0"/>
          <w:numId w:val="3"/>
        </w:numPr>
        <w:jc w:val="both"/>
        <w:rPr>
          <w:rFonts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战略性竞争（高层理念）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竞争的升级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策略性销售理念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客户决策特点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策略性销售步骤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高层最关心的内容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突破障碍接近客户高层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与高层的电话交谈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为高层做展示的要点</w:t>
      </w:r>
    </w:p>
    <w:p>
      <w:pPr>
        <w:pStyle w:val="9"/>
        <w:adjustRightInd w:val="0"/>
        <w:snapToGrid w:val="0"/>
        <w:spacing w:before="120" w:beforeLines="50" w:after="0" w:line="360" w:lineRule="auto"/>
        <w:ind w:left="504" w:leftChars="9"/>
        <w:rPr>
          <w:rFonts w:hint="eastAsia" w:ascii="宋体" w:hAnsi="宋体" w:eastAsia="宋体"/>
          <w:b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sz w:val="21"/>
          <w:szCs w:val="21"/>
          <w:lang w:eastAsia="zh-CN"/>
        </w:rPr>
        <w:t>二、营销产品策略性销售</w:t>
      </w:r>
    </w:p>
    <w:p>
      <w:pPr>
        <w:pStyle w:val="10"/>
        <w:numPr>
          <w:ilvl w:val="0"/>
          <w:numId w:val="3"/>
        </w:numPr>
        <w:spacing w:before="0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销售机会分析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把握关键的好时机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客户的吉时喜庆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客户遇到暂时困难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公司体制变革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对其他银行不满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资金管理方式变化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其他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机会真假判断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资源能力检查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竞争形势分析、投入价值计算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客户决策流程分析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采购决策角色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采购影响因素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采购实际影响力</w:t>
      </w:r>
    </w:p>
    <w:p>
      <w:pPr>
        <w:pStyle w:val="10"/>
        <w:numPr>
          <w:ilvl w:val="0"/>
          <w:numId w:val="3"/>
        </w:numPr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影响策略选择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随势而变的策略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可选策略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突破门槛策略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遭遇拦路虎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跨入门槛心理运用技巧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需求重构策略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需求意识阶段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需求影响类别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重新设定提问顺序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标准重建策略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评估选择焦点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建立指标新顺序</w:t>
      </w:r>
    </w:p>
    <w:p>
      <w:pPr>
        <w:pStyle w:val="10"/>
        <w:numPr>
          <w:ilvl w:val="0"/>
          <w:numId w:val="3"/>
        </w:numPr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优势扭转策略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竞争对手分析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竞争优劣势分析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五种策略扭转形势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战略性客户营销计划的制定流程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实战演练：制定一份战略性客户营销计划（包括对现状、目标和差异的分析，制定30天、60天、90天的行动计划，安排资源和战术）</w:t>
      </w:r>
    </w:p>
    <w:p>
      <w:pPr>
        <w:pStyle w:val="9"/>
        <w:adjustRightInd w:val="0"/>
        <w:snapToGrid w:val="0"/>
        <w:spacing w:before="120" w:beforeLines="50" w:after="0" w:line="360" w:lineRule="auto"/>
        <w:ind w:left="504" w:leftChars="9"/>
        <w:rPr>
          <w:rFonts w:hint="eastAsia" w:ascii="宋体" w:hAnsi="宋体" w:eastAsia="宋体"/>
          <w:b/>
          <w:sz w:val="21"/>
          <w:szCs w:val="21"/>
          <w:lang w:eastAsia="zh-CN"/>
        </w:rPr>
      </w:pPr>
      <w:r>
        <w:rPr>
          <w:rFonts w:hint="eastAsia" w:ascii="宋体" w:hAnsi="宋体" w:eastAsia="宋体"/>
          <w:b/>
          <w:sz w:val="21"/>
          <w:szCs w:val="21"/>
          <w:lang w:eastAsia="zh-CN"/>
        </w:rPr>
        <w:t>三、企业理财顾问销售式销售</w:t>
      </w:r>
    </w:p>
    <w:p>
      <w:pPr>
        <w:pStyle w:val="10"/>
        <w:numPr>
          <w:ilvl w:val="0"/>
          <w:numId w:val="3"/>
        </w:numPr>
        <w:spacing w:before="0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开发前的准备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客户背景信息搜集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客户发展动力分析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客户业务规划分析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客户当务之急排序</w:t>
      </w:r>
    </w:p>
    <w:p>
      <w:pPr>
        <w:pStyle w:val="10"/>
        <w:numPr>
          <w:ilvl w:val="0"/>
          <w:numId w:val="3"/>
        </w:numPr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高效开场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需求引导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需求理解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需求层次／需求全景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引导方法／提问技巧</w:t>
      </w:r>
    </w:p>
    <w:p>
      <w:pPr>
        <w:pStyle w:val="10"/>
        <w:numPr>
          <w:ilvl w:val="0"/>
          <w:numId w:val="3"/>
        </w:numPr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异议处理与说服技巧</w:t>
      </w:r>
    </w:p>
    <w:p>
      <w:pPr>
        <w:pStyle w:val="11"/>
        <w:numPr>
          <w:ilvl w:val="0"/>
          <w:numId w:val="0"/>
        </w:numPr>
        <w:ind w:left="420"/>
        <w:jc w:val="both"/>
        <w:rPr>
          <w:rFonts w:hint="eastAsia" w:ascii="宋体" w:hAnsi="宋体"/>
          <w:b/>
          <w:sz w:val="21"/>
          <w:szCs w:val="21"/>
          <w:lang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讨论：“三天不喝酒，存款就搬走”、“三天不桑拿，业绩往下滑”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客户对银行的认知、看法、态度和行动之间的关系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用沙枪瞄准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如何赞美客户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购买心理分析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捕捉语言信号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身体语言解读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如何打破僵局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高效的成交语言技巧</w:t>
      </w:r>
    </w:p>
    <w:p>
      <w:pPr>
        <w:pStyle w:val="10"/>
        <w:numPr>
          <w:ilvl w:val="0"/>
          <w:numId w:val="3"/>
        </w:numPr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方案</w:t>
      </w:r>
      <w:r>
        <w:rPr>
          <w:rFonts w:hint="eastAsia" w:ascii="宋体" w:hAnsi="宋体"/>
          <w:sz w:val="21"/>
          <w:szCs w:val="21"/>
          <w:lang w:eastAsia="zh-CN"/>
        </w:rPr>
        <w:t>梳理与亮点凸显</w:t>
      </w:r>
    </w:p>
    <w:p>
      <w:pPr>
        <w:pStyle w:val="11"/>
        <w:jc w:val="both"/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信贷的本质</w:t>
      </w:r>
    </w:p>
    <w:p>
      <w:pPr>
        <w:pStyle w:val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资金增值</w:t>
      </w:r>
    </w:p>
    <w:p>
      <w:pPr>
        <w:pStyle w:val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明线：客户目标</w:t>
      </w:r>
    </w:p>
    <w:p>
      <w:pPr>
        <w:pStyle w:val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暗线：银行的需要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背景与挑战</w:t>
      </w:r>
    </w:p>
    <w:p>
      <w:pPr>
        <w:pStyle w:val="12"/>
        <w:jc w:val="both"/>
        <w:rPr>
          <w:rFonts w:hint="eastAsia" w:ascii="宋体" w:hAnsi="宋体"/>
          <w:sz w:val="21"/>
          <w:szCs w:val="21"/>
          <w:lang w:eastAsia="en-US"/>
        </w:rPr>
      </w:pPr>
      <w:r>
        <w:rPr>
          <w:rFonts w:hint="eastAsia" w:ascii="宋体" w:hAnsi="宋体"/>
          <w:sz w:val="21"/>
          <w:szCs w:val="21"/>
        </w:rPr>
        <w:t>客户行业情报收集</w:t>
      </w:r>
    </w:p>
    <w:p>
      <w:pPr>
        <w:pStyle w:val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客户经营情报收集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解决方案建议</w:t>
      </w:r>
    </w:p>
    <w:p>
      <w:pPr>
        <w:pStyle w:val="11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差异性优势</w:t>
      </w:r>
    </w:p>
    <w:p>
      <w:pPr>
        <w:pStyle w:val="6"/>
        <w:spacing w:before="75" w:beforeAutospacing="0" w:after="0" w:afterAutospacing="0" w:line="440" w:lineRule="exact"/>
        <w:rPr>
          <w:rFonts w:ascii="宋体" w:hAnsi="宋体" w:eastAsia="宋体"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B333F7"/>
    <w:multiLevelType w:val="multilevel"/>
    <w:tmpl w:val="18B333F7"/>
    <w:lvl w:ilvl="0" w:tentative="0">
      <w:start w:val="1"/>
      <w:numFmt w:val="bullet"/>
      <w:pStyle w:val="12"/>
      <w:lvlText w:val=""/>
      <w:lvlJc w:val="left"/>
      <w:pPr>
        <w:ind w:left="420" w:hanging="420"/>
      </w:pPr>
      <w:rPr>
        <w:rFonts w:hint="default" w:ascii="Wingdings" w:hAnsi="Wingdings"/>
        <w:snapToGrid w:val="0"/>
        <w:color w:val="94C36A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7CED6994"/>
    <w:multiLevelType w:val="multilevel"/>
    <w:tmpl w:val="7CED699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napToGrid w:val="0"/>
        <w:color w:val="94363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7ED46569"/>
    <w:multiLevelType w:val="multilevel"/>
    <w:tmpl w:val="7ED46569"/>
    <w:lvl w:ilvl="0" w:tentative="0">
      <w:start w:val="1"/>
      <w:numFmt w:val="bullet"/>
      <w:pStyle w:val="11"/>
      <w:lvlText w:val=""/>
      <w:lvlJc w:val="left"/>
      <w:pPr>
        <w:ind w:left="840" w:hanging="420"/>
      </w:pPr>
      <w:rPr>
        <w:rFonts w:hint="default" w:ascii="Wingdings" w:hAnsi="Wingdings"/>
        <w:snapToGrid w:val="0"/>
        <w:color w:val="268868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39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qFormat/>
    <w:uiPriority w:val="0"/>
    <w:pPr>
      <w:spacing w:after="120" w:line="480" w:lineRule="auto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paragraph" w:styleId="9">
    <w:name w:val="List Paragraph"/>
    <w:basedOn w:val="1"/>
    <w:qFormat/>
    <w:uiPriority w:val="0"/>
    <w:pPr>
      <w:widowControl w:val="0"/>
      <w:spacing w:before="100" w:beforeAutospacing="1" w:after="100" w:afterAutospacing="1" w:line="240" w:lineRule="atLeast"/>
      <w:ind w:left="480" w:leftChars="200" w:right="-238" w:hanging="482"/>
      <w:jc w:val="both"/>
    </w:pPr>
    <w:rPr>
      <w:rFonts w:ascii="Calibri" w:hAnsi="Calibri" w:eastAsia="PMingLiU"/>
      <w:kern w:val="2"/>
      <w:szCs w:val="22"/>
      <w:lang w:eastAsia="zh-TW"/>
    </w:rPr>
  </w:style>
  <w:style w:type="paragraph" w:customStyle="1" w:styleId="10">
    <w:name w:val="1级列表"/>
    <w:basedOn w:val="1"/>
    <w:qFormat/>
    <w:uiPriority w:val="0"/>
    <w:pPr>
      <w:adjustRightInd w:val="0"/>
      <w:snapToGrid w:val="0"/>
      <w:spacing w:before="200" w:after="120" w:line="276" w:lineRule="auto"/>
      <w:ind w:left="420" w:hanging="420"/>
    </w:pPr>
    <w:rPr>
      <w:sz w:val="20"/>
      <w:szCs w:val="22"/>
      <w:lang w:eastAsia="en-US" w:bidi="en-US"/>
    </w:rPr>
  </w:style>
  <w:style w:type="paragraph" w:customStyle="1" w:styleId="11">
    <w:name w:val="2级列表"/>
    <w:basedOn w:val="1"/>
    <w:qFormat/>
    <w:uiPriority w:val="0"/>
    <w:pPr>
      <w:numPr>
        <w:ilvl w:val="0"/>
        <w:numId w:val="1"/>
      </w:numPr>
      <w:spacing w:before="120" w:after="120" w:line="276" w:lineRule="auto"/>
    </w:pPr>
    <w:rPr>
      <w:rFonts w:ascii="Calibri" w:hAnsi="Calibri"/>
      <w:kern w:val="2"/>
      <w:szCs w:val="22"/>
      <w:lang w:eastAsia="en-US" w:bidi="en-US"/>
    </w:rPr>
  </w:style>
  <w:style w:type="paragraph" w:customStyle="1" w:styleId="12">
    <w:name w:val="3级列表"/>
    <w:basedOn w:val="1"/>
    <w:qFormat/>
    <w:uiPriority w:val="0"/>
    <w:pPr>
      <w:numPr>
        <w:ilvl w:val="0"/>
        <w:numId w:val="2"/>
      </w:numPr>
      <w:snapToGrid w:val="0"/>
      <w:spacing w:before="120" w:after="120" w:line="276" w:lineRule="auto"/>
    </w:pPr>
    <w:rPr>
      <w:rFonts w:ascii="Calibri" w:hAnsi="Calibri"/>
      <w:kern w:val="2"/>
      <w:szCs w:val="22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2021-08-05T03:53:19Z</dcterms:created>
  <dc:creator>shizi06</dc:creator>
  <cp:lastModifiedBy>蓉儿</cp:lastModifiedBy>
  <dcterms:modified xsi:type="dcterms:W3CDTF">2021-08-05T03:53:27Z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66031EF94F34490C8B4E8A6CFB1795A7</vt:lpwstr>
  </property>
</Properties>
</file>