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5762DF" w14:textId="77777777" w:rsidR="00000000" w:rsidRDefault="00973F27">
      <w:pPr>
        <w:spacing w:line="480" w:lineRule="exact"/>
        <w:ind w:firstLineChars="200" w:firstLine="880"/>
        <w:rPr>
          <w:rFonts w:ascii="黑体" w:eastAsia="黑体" w:hAnsi="黑体" w:cs="黑体" w:hint="eastAsia"/>
          <w:sz w:val="44"/>
          <w:szCs w:val="44"/>
        </w:rPr>
      </w:pPr>
    </w:p>
    <w:p w14:paraId="6078C393" w14:textId="77777777" w:rsidR="00000000" w:rsidRDefault="00C60186" w:rsidP="00C60186">
      <w:pPr>
        <w:spacing w:line="480" w:lineRule="exact"/>
        <w:ind w:firstLineChars="200" w:firstLine="880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《</w:t>
      </w:r>
      <w:bookmarkStart w:id="0" w:name="_GoBack"/>
      <w:r>
        <w:rPr>
          <w:rFonts w:ascii="黑体" w:eastAsia="黑体" w:hAnsi="黑体" w:cs="黑体" w:hint="eastAsia"/>
          <w:sz w:val="44"/>
          <w:szCs w:val="44"/>
        </w:rPr>
        <w:t>商业银行法律合规风险防控</w:t>
      </w:r>
      <w:r w:rsidR="00973F27">
        <w:rPr>
          <w:rFonts w:ascii="黑体" w:eastAsia="黑体" w:hAnsi="黑体" w:cs="黑体" w:hint="eastAsia"/>
          <w:sz w:val="44"/>
          <w:szCs w:val="44"/>
        </w:rPr>
        <w:t>》</w:t>
      </w:r>
      <w:r w:rsidR="00973F27">
        <w:rPr>
          <w:rFonts w:ascii="黑体" w:eastAsia="黑体" w:hAnsi="黑体" w:cs="黑体" w:hint="eastAsia"/>
          <w:sz w:val="44"/>
          <w:szCs w:val="44"/>
        </w:rPr>
        <w:t>培</w:t>
      </w:r>
      <w:r w:rsidR="00973F27">
        <w:rPr>
          <w:rFonts w:ascii="黑体" w:eastAsia="黑体" w:hAnsi="黑体" w:cs="黑体" w:hint="eastAsia"/>
          <w:sz w:val="44"/>
          <w:szCs w:val="44"/>
        </w:rPr>
        <w:t>训</w:t>
      </w:r>
      <w:r w:rsidR="00973F27">
        <w:rPr>
          <w:rFonts w:ascii="黑体" w:eastAsia="黑体" w:hAnsi="黑体" w:cs="黑体" w:hint="eastAsia"/>
          <w:sz w:val="44"/>
          <w:szCs w:val="44"/>
        </w:rPr>
        <w:t>课</w:t>
      </w:r>
      <w:r w:rsidR="00973F27">
        <w:rPr>
          <w:rFonts w:ascii="黑体" w:eastAsia="黑体" w:hAnsi="黑体" w:cs="黑体" w:hint="eastAsia"/>
          <w:sz w:val="44"/>
          <w:szCs w:val="44"/>
        </w:rPr>
        <w:t>纲</w:t>
      </w:r>
    </w:p>
    <w:bookmarkEnd w:id="0"/>
    <w:p w14:paraId="13F3D1F2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          </w:t>
      </w:r>
      <w:r>
        <w:rPr>
          <w:rFonts w:ascii="宋体" w:hAnsi="宋体" w:cs="宋体" w:hint="eastAsia"/>
          <w:sz w:val="30"/>
          <w:szCs w:val="30"/>
        </w:rPr>
        <w:t>金融法律讲师团团长</w:t>
      </w:r>
      <w:r>
        <w:rPr>
          <w:rFonts w:ascii="宋体" w:hAnsi="宋体" w:cs="宋体" w:hint="eastAsia"/>
          <w:sz w:val="30"/>
          <w:szCs w:val="30"/>
        </w:rPr>
        <w:t xml:space="preserve">  </w:t>
      </w:r>
      <w:r>
        <w:rPr>
          <w:rFonts w:ascii="宋体" w:hAnsi="宋体" w:cs="宋体" w:hint="eastAsia"/>
          <w:sz w:val="30"/>
          <w:szCs w:val="30"/>
        </w:rPr>
        <w:t>张绪才</w:t>
      </w:r>
    </w:p>
    <w:p w14:paraId="0BC9E7D7" w14:textId="77777777" w:rsidR="00C60186" w:rsidRDefault="00973F27" w:rsidP="00C60186">
      <w:pPr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</w:t>
      </w:r>
      <w:r w:rsidR="00C60186">
        <w:rPr>
          <w:rFonts w:ascii="宋体" w:hAnsi="宋体" w:cs="宋体" w:hint="eastAsia"/>
          <w:sz w:val="30"/>
          <w:szCs w:val="30"/>
        </w:rPr>
        <w:t xml:space="preserve">  </w:t>
      </w:r>
    </w:p>
    <w:p w14:paraId="5BCFDC0D" w14:textId="77777777" w:rsidR="00000000" w:rsidRPr="00973F27" w:rsidRDefault="00C60186" w:rsidP="00C60186">
      <w:pPr>
        <w:rPr>
          <w:rFonts w:ascii="宋体" w:hAnsi="宋体" w:cs="宋体" w:hint="eastAsia"/>
          <w:b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 </w:t>
      </w:r>
      <w:r w:rsidR="00973F27" w:rsidRPr="00973F27">
        <w:rPr>
          <w:rFonts w:ascii="宋体" w:hAnsi="宋体" w:cs="宋体" w:hint="eastAsia"/>
          <w:b/>
          <w:sz w:val="30"/>
          <w:szCs w:val="30"/>
        </w:rPr>
        <w:t>一、</w:t>
      </w:r>
      <w:r w:rsidR="00973F27" w:rsidRPr="00973F27">
        <w:rPr>
          <w:rFonts w:ascii="宋体" w:hAnsi="宋体" w:cs="宋体" w:hint="eastAsia"/>
          <w:b/>
          <w:sz w:val="30"/>
          <w:szCs w:val="30"/>
        </w:rPr>
        <w:t>合规</w:t>
      </w:r>
      <w:r w:rsidR="00973F27" w:rsidRPr="00973F27">
        <w:rPr>
          <w:rFonts w:ascii="宋体" w:hAnsi="宋体" w:cs="宋体" w:hint="eastAsia"/>
          <w:b/>
          <w:sz w:val="30"/>
          <w:szCs w:val="30"/>
        </w:rPr>
        <w:t>管理概述</w:t>
      </w:r>
    </w:p>
    <w:p w14:paraId="5039BA5C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（一）合规的概念：</w:t>
      </w:r>
    </w:p>
    <w:p w14:paraId="51AF3AE1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（二）</w:t>
      </w:r>
      <w:r>
        <w:rPr>
          <w:rFonts w:ascii="宋体" w:hAnsi="宋体" w:cs="宋体" w:hint="eastAsia"/>
          <w:sz w:val="30"/>
          <w:szCs w:val="30"/>
        </w:rPr>
        <w:t>银行合规主要包括四个层面</w:t>
      </w:r>
      <w:r>
        <w:rPr>
          <w:rFonts w:ascii="宋体" w:hAnsi="宋体" w:cs="宋体" w:hint="eastAsia"/>
          <w:sz w:val="30"/>
          <w:szCs w:val="30"/>
        </w:rPr>
        <w:br/>
      </w:r>
      <w:r>
        <w:rPr>
          <w:rFonts w:ascii="宋体" w:hAnsi="宋体" w:cs="宋体" w:hint="eastAsia"/>
          <w:sz w:val="30"/>
          <w:szCs w:val="30"/>
        </w:rPr>
        <w:t xml:space="preserve">    </w:t>
      </w:r>
      <w:r w:rsidR="00C60186"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案例分析：</w:t>
      </w:r>
    </w:p>
    <w:p w14:paraId="4A72B350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（三）国际、国内</w:t>
      </w:r>
      <w:r>
        <w:rPr>
          <w:rFonts w:ascii="宋体" w:hAnsi="宋体" w:cs="宋体" w:hint="eastAsia"/>
          <w:sz w:val="30"/>
          <w:szCs w:val="30"/>
        </w:rPr>
        <w:t>银行合规管理的领先做法</w:t>
      </w:r>
      <w:r>
        <w:rPr>
          <w:rFonts w:ascii="宋体" w:hAnsi="宋体" w:cs="宋体" w:hint="eastAsia"/>
          <w:sz w:val="30"/>
          <w:szCs w:val="30"/>
        </w:rPr>
        <w:t>和监管趋势</w:t>
      </w:r>
    </w:p>
    <w:p w14:paraId="2D55DB48" w14:textId="77777777" w:rsidR="00973F27" w:rsidRPr="00973F27" w:rsidRDefault="00973F27" w:rsidP="00973F27">
      <w:pPr>
        <w:spacing w:line="500" w:lineRule="exact"/>
        <w:rPr>
          <w:rFonts w:ascii="宋体" w:hAnsi="宋体"/>
          <w:b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   </w:t>
      </w:r>
      <w:r w:rsidRPr="00973F27">
        <w:rPr>
          <w:rFonts w:ascii="宋体" w:hAnsi="宋体" w:cs="宋体" w:hint="eastAsia"/>
          <w:b/>
          <w:sz w:val="30"/>
          <w:szCs w:val="30"/>
        </w:rPr>
        <w:t>二、</w:t>
      </w:r>
      <w:r w:rsidRPr="00973F27">
        <w:rPr>
          <w:rFonts w:ascii="宋体" w:hAnsi="宋体" w:hint="eastAsia"/>
          <w:b/>
          <w:sz w:val="30"/>
          <w:szCs w:val="30"/>
        </w:rPr>
        <w:t>为什么要</w:t>
      </w:r>
      <w:r w:rsidRPr="00973F27">
        <w:rPr>
          <w:rFonts w:ascii="宋体" w:hAnsi="宋体" w:hint="eastAsia"/>
          <w:b/>
          <w:sz w:val="30"/>
          <w:szCs w:val="30"/>
        </w:rPr>
        <w:t>主动法律合规和加强合规管理</w:t>
      </w:r>
    </w:p>
    <w:p w14:paraId="51CA1D1E" w14:textId="77777777" w:rsidR="00973F27" w:rsidRDefault="00973F27" w:rsidP="00973F27">
      <w:pPr>
        <w:spacing w:line="500" w:lineRule="exac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1、一批大案要案相继暴露</w:t>
      </w:r>
    </w:p>
    <w:p w14:paraId="51CBD812" w14:textId="77777777" w:rsidR="00973F27" w:rsidRDefault="00973F27" w:rsidP="00973F27">
      <w:pPr>
        <w:spacing w:line="500" w:lineRule="exac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2、银行发生案件的危害</w:t>
      </w:r>
    </w:p>
    <w:p w14:paraId="142D1205" w14:textId="77777777" w:rsidR="00973F27" w:rsidRDefault="00973F27" w:rsidP="00973F27">
      <w:pPr>
        <w:spacing w:line="500" w:lineRule="exac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 xml:space="preserve">    3、银行发生案件的危害</w:t>
      </w:r>
    </w:p>
    <w:p w14:paraId="2018F760" w14:textId="77777777" w:rsidR="00973F27" w:rsidRDefault="00973F27" w:rsidP="00973F27">
      <w:pPr>
        <w:spacing w:line="500" w:lineRule="exac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</w:t>
      </w:r>
      <w:r>
        <w:rPr>
          <w:rFonts w:ascii="宋体" w:hAnsi="宋体" w:hint="eastAsia"/>
          <w:b/>
          <w:bCs/>
          <w:sz w:val="30"/>
          <w:szCs w:val="30"/>
        </w:rPr>
        <w:t>一是</w:t>
      </w:r>
      <w:r>
        <w:rPr>
          <w:rFonts w:ascii="宋体" w:hAnsi="宋体" w:hint="eastAsia"/>
          <w:sz w:val="30"/>
          <w:szCs w:val="30"/>
        </w:rPr>
        <w:t xml:space="preserve">影响资金安全。 </w:t>
      </w:r>
    </w:p>
    <w:p w14:paraId="78D6E222" w14:textId="77777777" w:rsidR="00973F27" w:rsidRDefault="00973F27" w:rsidP="00973F27">
      <w:pPr>
        <w:spacing w:line="500" w:lineRule="exac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 xml:space="preserve">    二是</w:t>
      </w:r>
      <w:r>
        <w:rPr>
          <w:rFonts w:ascii="宋体" w:hAnsi="宋体" w:hint="eastAsia"/>
          <w:sz w:val="30"/>
          <w:szCs w:val="30"/>
        </w:rPr>
        <w:t xml:space="preserve">影响队伍建设。 </w:t>
      </w:r>
    </w:p>
    <w:p w14:paraId="66AE1E65" w14:textId="77777777" w:rsidR="00973F27" w:rsidRDefault="00973F27" w:rsidP="00973F27">
      <w:pPr>
        <w:spacing w:line="500" w:lineRule="exac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 xml:space="preserve">    三是</w:t>
      </w:r>
      <w:r>
        <w:rPr>
          <w:rFonts w:ascii="宋体" w:hAnsi="宋体" w:hint="eastAsia"/>
          <w:sz w:val="30"/>
          <w:szCs w:val="30"/>
        </w:rPr>
        <w:t xml:space="preserve">影响社会形象。 </w:t>
      </w:r>
    </w:p>
    <w:p w14:paraId="40D10632" w14:textId="77777777" w:rsidR="00973F27" w:rsidRDefault="00973F27" w:rsidP="00973F27">
      <w:pPr>
        <w:spacing w:line="500" w:lineRule="exac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 xml:space="preserve">    四是</w:t>
      </w:r>
      <w:r>
        <w:rPr>
          <w:rFonts w:ascii="宋体" w:hAnsi="宋体" w:hint="eastAsia"/>
          <w:sz w:val="30"/>
          <w:szCs w:val="30"/>
        </w:rPr>
        <w:t>影响经营发展。</w:t>
      </w:r>
    </w:p>
    <w:p w14:paraId="2DE78F85" w14:textId="77777777" w:rsidR="00973F27" w:rsidRDefault="00973F27" w:rsidP="00973F27">
      <w:pPr>
        <w:spacing w:line="500" w:lineRule="exac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 xml:space="preserve">    五是</w:t>
      </w:r>
      <w:r>
        <w:rPr>
          <w:rFonts w:ascii="宋体" w:hAnsi="宋体" w:hint="eastAsia"/>
          <w:sz w:val="30"/>
          <w:szCs w:val="30"/>
        </w:rPr>
        <w:t>引起法律纠纷。</w:t>
      </w:r>
    </w:p>
    <w:p w14:paraId="2779B59D" w14:textId="77777777" w:rsidR="00973F27" w:rsidRDefault="00973F27" w:rsidP="00973F27">
      <w:pPr>
        <w:spacing w:line="500" w:lineRule="exac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4、银行案件防控的目的和意义</w:t>
      </w:r>
    </w:p>
    <w:p w14:paraId="033908C7" w14:textId="77777777" w:rsidR="00000000" w:rsidRDefault="00973F27">
      <w:pPr>
        <w:spacing w:line="480" w:lineRule="exact"/>
        <w:ind w:firstLine="600"/>
        <w:rPr>
          <w:rFonts w:ascii="宋体" w:hAnsi="宋体" w:cs="宋体" w:hint="eastAsia"/>
          <w:sz w:val="30"/>
          <w:szCs w:val="30"/>
        </w:rPr>
      </w:pPr>
      <w:r w:rsidRPr="00973F27">
        <w:rPr>
          <w:rFonts w:ascii="宋体" w:hAnsi="宋体" w:cs="宋体" w:hint="eastAsia"/>
          <w:b/>
          <w:sz w:val="30"/>
          <w:szCs w:val="30"/>
        </w:rPr>
        <w:t>三、</w:t>
      </w:r>
      <w:r w:rsidRPr="00973F27">
        <w:rPr>
          <w:rFonts w:ascii="宋体" w:hAnsi="宋体" w:cs="宋体" w:hint="eastAsia"/>
          <w:b/>
          <w:sz w:val="30"/>
          <w:szCs w:val="30"/>
        </w:rPr>
        <w:t>合规风险管理</w:t>
      </w:r>
      <w:r w:rsidRPr="00973F27">
        <w:rPr>
          <w:rFonts w:ascii="宋体" w:hAnsi="宋体" w:cs="宋体" w:hint="eastAsia"/>
          <w:b/>
          <w:sz w:val="30"/>
          <w:szCs w:val="30"/>
        </w:rPr>
        <w:br/>
      </w:r>
      <w:r>
        <w:rPr>
          <w:rFonts w:ascii="宋体" w:hAnsi="宋体" w:cs="宋体" w:hint="eastAsia"/>
          <w:sz w:val="30"/>
          <w:szCs w:val="30"/>
        </w:rPr>
        <w:t xml:space="preserve">   </w:t>
      </w:r>
      <w:r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（一）</w:t>
      </w:r>
      <w:r>
        <w:rPr>
          <w:rFonts w:ascii="宋体" w:hAnsi="宋体" w:cs="宋体" w:hint="eastAsia"/>
          <w:sz w:val="30"/>
          <w:szCs w:val="30"/>
        </w:rPr>
        <w:t>定义：</w:t>
      </w:r>
    </w:p>
    <w:p w14:paraId="3E126B5F" w14:textId="77777777" w:rsidR="00000000" w:rsidRDefault="00973F27">
      <w:pPr>
        <w:spacing w:line="480" w:lineRule="exact"/>
        <w:ind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（二）</w:t>
      </w:r>
      <w:r>
        <w:rPr>
          <w:rFonts w:ascii="宋体" w:hAnsi="宋体" w:cs="宋体" w:hint="eastAsia"/>
          <w:sz w:val="30"/>
          <w:szCs w:val="30"/>
        </w:rPr>
        <w:t>基本内涵：</w:t>
      </w:r>
      <w:r>
        <w:rPr>
          <w:rFonts w:ascii="宋体" w:hAnsi="宋体" w:cs="宋体" w:hint="eastAsia"/>
          <w:sz w:val="30"/>
          <w:szCs w:val="30"/>
        </w:rPr>
        <w:br/>
      </w:r>
      <w:r>
        <w:rPr>
          <w:rFonts w:ascii="宋体" w:hAnsi="宋体" w:cs="宋体" w:hint="eastAsia"/>
          <w:sz w:val="30"/>
          <w:szCs w:val="30"/>
        </w:rPr>
        <w:t xml:space="preserve">   </w:t>
      </w:r>
      <w:r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（三）</w:t>
      </w:r>
      <w:r>
        <w:rPr>
          <w:rFonts w:ascii="宋体" w:hAnsi="宋体" w:cs="宋体" w:hint="eastAsia"/>
          <w:sz w:val="30"/>
          <w:szCs w:val="30"/>
        </w:rPr>
        <w:t>合规风险管理体系的基本要素：</w:t>
      </w:r>
    </w:p>
    <w:p w14:paraId="63ADF461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1</w:t>
      </w:r>
      <w:r>
        <w:rPr>
          <w:rFonts w:ascii="宋体" w:hAnsi="宋体" w:cs="宋体" w:hint="eastAsia"/>
          <w:sz w:val="30"/>
          <w:szCs w:val="30"/>
        </w:rPr>
        <w:t>、合规政策；</w:t>
      </w:r>
    </w:p>
    <w:p w14:paraId="2385080E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2</w:t>
      </w:r>
      <w:r>
        <w:rPr>
          <w:rFonts w:ascii="宋体" w:hAnsi="宋体" w:cs="宋体" w:hint="eastAsia"/>
          <w:sz w:val="30"/>
          <w:szCs w:val="30"/>
        </w:rPr>
        <w:t>、合规管理部门的组织结构和资源；</w:t>
      </w:r>
    </w:p>
    <w:p w14:paraId="4192BA42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3</w:t>
      </w:r>
      <w:r>
        <w:rPr>
          <w:rFonts w:ascii="宋体" w:hAnsi="宋体" w:cs="宋体" w:hint="eastAsia"/>
          <w:sz w:val="30"/>
          <w:szCs w:val="30"/>
        </w:rPr>
        <w:t>、合规风险管理</w:t>
      </w:r>
      <w:r>
        <w:rPr>
          <w:rFonts w:ascii="宋体" w:hAnsi="宋体" w:cs="宋体" w:hint="eastAsia"/>
          <w:sz w:val="30"/>
          <w:szCs w:val="30"/>
        </w:rPr>
        <w:t>计划；</w:t>
      </w:r>
    </w:p>
    <w:p w14:paraId="35004028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4</w:t>
      </w:r>
      <w:r>
        <w:rPr>
          <w:rFonts w:ascii="宋体" w:hAnsi="宋体" w:cs="宋体" w:hint="eastAsia"/>
          <w:sz w:val="30"/>
          <w:szCs w:val="30"/>
        </w:rPr>
        <w:t>、合规风险识别和管理流程；</w:t>
      </w:r>
    </w:p>
    <w:p w14:paraId="65AA11A0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5</w:t>
      </w:r>
      <w:r>
        <w:rPr>
          <w:rFonts w:ascii="宋体" w:hAnsi="宋体" w:cs="宋体" w:hint="eastAsia"/>
          <w:sz w:val="30"/>
          <w:szCs w:val="30"/>
        </w:rPr>
        <w:t>、合规培训与教育制度。</w:t>
      </w:r>
    </w:p>
    <w:p w14:paraId="487311D3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</w:t>
      </w:r>
    </w:p>
    <w:p w14:paraId="017F984F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lastRenderedPageBreak/>
        <w:t>（四）</w:t>
      </w:r>
      <w:r>
        <w:rPr>
          <w:rFonts w:ascii="宋体" w:hAnsi="宋体" w:cs="宋体" w:hint="eastAsia"/>
          <w:sz w:val="30"/>
          <w:szCs w:val="30"/>
        </w:rPr>
        <w:t>案件暴露的</w:t>
      </w:r>
      <w:r>
        <w:rPr>
          <w:rFonts w:ascii="宋体" w:hAnsi="宋体" w:cs="宋体" w:hint="eastAsia"/>
          <w:sz w:val="30"/>
          <w:szCs w:val="30"/>
        </w:rPr>
        <w:t>合规管理</w:t>
      </w:r>
      <w:r>
        <w:rPr>
          <w:rFonts w:ascii="宋体" w:hAnsi="宋体" w:cs="宋体" w:hint="eastAsia"/>
          <w:sz w:val="30"/>
          <w:szCs w:val="30"/>
        </w:rPr>
        <w:t>主要问题</w:t>
      </w:r>
    </w:p>
    <w:p w14:paraId="1702BB36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一是对于合规风险、合规文化的认识还存在偏差</w:t>
      </w:r>
      <w:r>
        <w:rPr>
          <w:rFonts w:ascii="宋体" w:hAnsi="宋体" w:cs="宋体" w:hint="eastAsia"/>
          <w:sz w:val="30"/>
          <w:szCs w:val="30"/>
        </w:rPr>
        <w:t>。</w:t>
      </w:r>
    </w:p>
    <w:p w14:paraId="5ED4B60C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二是银行在进行合规建设，制定设计合规制度体系时，未能全面考虑、覆盖合规风险管理或者说合规文化内涵的各个层面。</w:t>
      </w:r>
    </w:p>
    <w:p w14:paraId="2158CEE1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三是</w:t>
      </w:r>
      <w:r>
        <w:rPr>
          <w:rFonts w:ascii="宋体" w:hAnsi="宋体" w:cs="宋体" w:hint="eastAsia"/>
          <w:sz w:val="30"/>
          <w:szCs w:val="30"/>
        </w:rPr>
        <w:t>"</w:t>
      </w:r>
      <w:r>
        <w:rPr>
          <w:rFonts w:ascii="宋体" w:hAnsi="宋体" w:cs="宋体" w:hint="eastAsia"/>
          <w:sz w:val="30"/>
          <w:szCs w:val="30"/>
        </w:rPr>
        <w:t>规</w:t>
      </w:r>
      <w:r>
        <w:rPr>
          <w:rFonts w:ascii="宋体" w:hAnsi="宋体" w:cs="宋体" w:hint="eastAsia"/>
          <w:sz w:val="30"/>
          <w:szCs w:val="30"/>
        </w:rPr>
        <w:t>"</w:t>
      </w:r>
      <w:r>
        <w:rPr>
          <w:rFonts w:ascii="宋体" w:hAnsi="宋体" w:cs="宋体" w:hint="eastAsia"/>
          <w:sz w:val="30"/>
          <w:szCs w:val="30"/>
        </w:rPr>
        <w:t>的严肃性不强。</w:t>
      </w:r>
    </w:p>
    <w:p w14:paraId="670547BB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四</w:t>
      </w:r>
      <w:r>
        <w:rPr>
          <w:rFonts w:ascii="宋体" w:hAnsi="宋体" w:cs="宋体" w:hint="eastAsia"/>
          <w:sz w:val="30"/>
          <w:szCs w:val="30"/>
        </w:rPr>
        <w:t>是基层人员管控存在薄弱环节。</w:t>
      </w:r>
    </w:p>
    <w:p w14:paraId="509DC166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五</w:t>
      </w:r>
      <w:r>
        <w:rPr>
          <w:rFonts w:ascii="宋体" w:hAnsi="宋体" w:cs="宋体" w:hint="eastAsia"/>
          <w:sz w:val="30"/>
          <w:szCs w:val="30"/>
        </w:rPr>
        <w:t>是交易真实性控制不足，</w:t>
      </w:r>
    </w:p>
    <w:p w14:paraId="4F11588B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六</w:t>
      </w:r>
      <w:r>
        <w:rPr>
          <w:rFonts w:ascii="宋体" w:hAnsi="宋体" w:cs="宋体" w:hint="eastAsia"/>
          <w:sz w:val="30"/>
          <w:szCs w:val="30"/>
        </w:rPr>
        <w:t>是客户端交易监控措施不足。</w:t>
      </w:r>
    </w:p>
    <w:p w14:paraId="677EBB50" w14:textId="77777777" w:rsidR="00000000" w:rsidRPr="00973F27" w:rsidRDefault="00973F27" w:rsidP="00973F27">
      <w:pPr>
        <w:spacing w:line="480" w:lineRule="exact"/>
        <w:ind w:left="600"/>
        <w:rPr>
          <w:rFonts w:ascii="宋体" w:hAnsi="宋体" w:cs="宋体" w:hint="eastAsia"/>
          <w:b/>
          <w:sz w:val="30"/>
          <w:szCs w:val="30"/>
        </w:rPr>
      </w:pPr>
      <w:r w:rsidRPr="00973F27">
        <w:rPr>
          <w:rFonts w:ascii="宋体" w:hAnsi="宋体" w:cs="宋体" w:hint="eastAsia"/>
          <w:b/>
          <w:sz w:val="30"/>
          <w:szCs w:val="30"/>
        </w:rPr>
        <w:t>四、</w:t>
      </w:r>
      <w:r w:rsidRPr="00973F27">
        <w:rPr>
          <w:rFonts w:ascii="宋体" w:hAnsi="宋体" w:cs="宋体" w:hint="eastAsia"/>
          <w:b/>
          <w:sz w:val="30"/>
          <w:szCs w:val="30"/>
        </w:rPr>
        <w:t>《商业银行合规风险管理指引》</w:t>
      </w:r>
    </w:p>
    <w:p w14:paraId="03E4DEB5" w14:textId="77777777" w:rsidR="00000000" w:rsidRDefault="00973F27" w:rsidP="00C60186">
      <w:pPr>
        <w:spacing w:line="480" w:lineRule="exact"/>
        <w:ind w:leftChars="200" w:left="42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（一）</w:t>
      </w:r>
      <w:r>
        <w:rPr>
          <w:rFonts w:ascii="宋体" w:hAnsi="宋体" w:cs="宋体" w:hint="eastAsia"/>
          <w:sz w:val="30"/>
          <w:szCs w:val="30"/>
        </w:rPr>
        <w:t>基本框架</w:t>
      </w:r>
    </w:p>
    <w:p w14:paraId="7E4075C8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（二）</w:t>
      </w:r>
      <w:r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主要特点</w:t>
      </w:r>
    </w:p>
    <w:p w14:paraId="09F3640F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1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突出强调三个方面</w:t>
      </w:r>
    </w:p>
    <w:p w14:paraId="5952443A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2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建设强有力的合规文化</w:t>
      </w:r>
      <w:r>
        <w:rPr>
          <w:rFonts w:ascii="宋体" w:hAnsi="宋体" w:cs="宋体" w:hint="eastAsia"/>
          <w:sz w:val="30"/>
          <w:szCs w:val="30"/>
        </w:rPr>
        <w:t xml:space="preserve">  </w:t>
      </w:r>
    </w:p>
    <w:p w14:paraId="4410486D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3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建立有效的合规风险管理体系</w:t>
      </w:r>
      <w:r>
        <w:rPr>
          <w:rFonts w:ascii="宋体" w:hAnsi="宋体" w:cs="宋体" w:hint="eastAsia"/>
          <w:sz w:val="30"/>
          <w:szCs w:val="30"/>
        </w:rPr>
        <w:t xml:space="preserve"> </w:t>
      </w:r>
    </w:p>
    <w:p w14:paraId="3FB751E4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4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建立有利于合规风险管理的三项基本制度</w:t>
      </w:r>
      <w:r>
        <w:rPr>
          <w:rFonts w:ascii="宋体" w:hAnsi="宋体" w:cs="宋体" w:hint="eastAsia"/>
          <w:sz w:val="30"/>
          <w:szCs w:val="30"/>
        </w:rPr>
        <w:t xml:space="preserve"> </w:t>
      </w:r>
    </w:p>
    <w:p w14:paraId="76CD7EED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5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重点规定三项要求</w:t>
      </w:r>
    </w:p>
    <w:p w14:paraId="448B47E7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6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切实建设“三道防线”</w:t>
      </w:r>
    </w:p>
    <w:p w14:paraId="2E5241DC" w14:textId="77777777" w:rsidR="00000000" w:rsidRPr="00973F27" w:rsidRDefault="00973F27">
      <w:pPr>
        <w:spacing w:line="480" w:lineRule="exact"/>
        <w:ind w:firstLineChars="200" w:firstLine="600"/>
        <w:rPr>
          <w:rFonts w:ascii="宋体" w:hAnsi="宋体" w:cs="宋体" w:hint="eastAsia"/>
          <w:b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</w:t>
      </w:r>
      <w:r w:rsidRPr="00973F27">
        <w:rPr>
          <w:rFonts w:ascii="宋体" w:hAnsi="宋体" w:cs="宋体" w:hint="eastAsia"/>
          <w:b/>
          <w:sz w:val="30"/>
          <w:szCs w:val="30"/>
        </w:rPr>
        <w:t>五</w:t>
      </w:r>
      <w:r w:rsidRPr="00973F27">
        <w:rPr>
          <w:rFonts w:ascii="宋体" w:hAnsi="宋体" w:cs="宋体" w:hint="eastAsia"/>
          <w:b/>
          <w:sz w:val="30"/>
          <w:szCs w:val="30"/>
        </w:rPr>
        <w:t>、</w:t>
      </w:r>
      <w:r w:rsidRPr="00973F27">
        <w:rPr>
          <w:rFonts w:ascii="宋体" w:hAnsi="宋体" w:cs="宋体" w:hint="eastAsia"/>
          <w:b/>
          <w:sz w:val="30"/>
          <w:szCs w:val="30"/>
        </w:rPr>
        <w:t>合规管理工作如何切入？</w:t>
      </w:r>
    </w:p>
    <w:p w14:paraId="24B55FB4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1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董事会和高管层一定要重视并率先垂范。</w:t>
      </w:r>
    </w:p>
    <w:p w14:paraId="5D253A81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2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必须有部门、有人做这个事并有明确的职责。</w:t>
      </w:r>
    </w:p>
    <w:p w14:paraId="784256F4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3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可从制度梳理对接入手。</w:t>
      </w:r>
    </w:p>
    <w:p w14:paraId="240EC4A8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4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可从业务流程再造和信息系统整合入手。</w:t>
      </w:r>
    </w:p>
    <w:p w14:paraId="659B17CD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5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可从风险点排查切入。</w:t>
      </w:r>
    </w:p>
    <w:p w14:paraId="09ED0B36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6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可从员工培训教育切入。</w:t>
      </w:r>
    </w:p>
    <w:p w14:paraId="65D3D422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7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关键是结合自身实际，体现适当性、突出有效性。</w:t>
      </w:r>
    </w:p>
    <w:p w14:paraId="0A7DFB11" w14:textId="77777777" w:rsidR="00000000" w:rsidRPr="00973F27" w:rsidRDefault="00973F27">
      <w:pPr>
        <w:spacing w:line="480" w:lineRule="exact"/>
        <w:ind w:firstLineChars="200" w:firstLine="600"/>
        <w:rPr>
          <w:rFonts w:ascii="宋体" w:hAnsi="宋体" w:cs="宋体" w:hint="eastAsia"/>
          <w:b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</w:t>
      </w:r>
      <w:r w:rsidRPr="00973F27">
        <w:rPr>
          <w:rFonts w:ascii="宋体" w:hAnsi="宋体" w:cs="宋体" w:hint="eastAsia"/>
          <w:b/>
          <w:sz w:val="30"/>
          <w:szCs w:val="30"/>
        </w:rPr>
        <w:t>六</w:t>
      </w:r>
      <w:r w:rsidRPr="00973F27">
        <w:rPr>
          <w:rFonts w:ascii="宋体" w:hAnsi="宋体" w:cs="宋体" w:hint="eastAsia"/>
          <w:b/>
          <w:sz w:val="30"/>
          <w:szCs w:val="30"/>
        </w:rPr>
        <w:t>、</w:t>
      </w:r>
      <w:r w:rsidRPr="00973F27">
        <w:rPr>
          <w:rFonts w:ascii="宋体" w:hAnsi="宋体" w:cs="宋体" w:hint="eastAsia"/>
          <w:b/>
          <w:sz w:val="30"/>
          <w:szCs w:val="30"/>
        </w:rPr>
        <w:t>合规</w:t>
      </w:r>
      <w:r w:rsidRPr="00973F27">
        <w:rPr>
          <w:rFonts w:ascii="宋体" w:hAnsi="宋体" w:cs="宋体" w:hint="eastAsia"/>
          <w:b/>
          <w:sz w:val="30"/>
          <w:szCs w:val="30"/>
        </w:rPr>
        <w:t>管理</w:t>
      </w:r>
      <w:r w:rsidRPr="00973F27">
        <w:rPr>
          <w:rFonts w:ascii="宋体" w:hAnsi="宋体" w:cs="宋体" w:hint="eastAsia"/>
          <w:b/>
          <w:sz w:val="30"/>
          <w:szCs w:val="30"/>
        </w:rPr>
        <w:t>部门的基本职责</w:t>
      </w:r>
    </w:p>
    <w:p w14:paraId="1E155F12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1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协助制定和实施合规政策。</w:t>
      </w:r>
    </w:p>
    <w:p w14:paraId="34ECE93E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2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系统识别、</w:t>
      </w:r>
      <w:r>
        <w:rPr>
          <w:rFonts w:ascii="宋体" w:hAnsi="宋体" w:cs="宋体" w:hint="eastAsia"/>
          <w:sz w:val="30"/>
          <w:szCs w:val="30"/>
        </w:rPr>
        <w:t>计量、监测、评估合规风险。</w:t>
      </w:r>
    </w:p>
    <w:p w14:paraId="7FBCAFBC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3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跟踪合规法律、政策、规则。</w:t>
      </w:r>
    </w:p>
    <w:p w14:paraId="04AEB2B1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4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参与银行业务流程再造。</w:t>
      </w:r>
    </w:p>
    <w:p w14:paraId="3D09D949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lastRenderedPageBreak/>
        <w:t xml:space="preserve"> </w:t>
      </w:r>
      <w:r>
        <w:rPr>
          <w:rFonts w:ascii="宋体" w:hAnsi="宋体" w:cs="宋体" w:hint="eastAsia"/>
          <w:sz w:val="30"/>
          <w:szCs w:val="30"/>
        </w:rPr>
        <w:t>5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制订、审核合规手册。</w:t>
      </w:r>
    </w:p>
    <w:p w14:paraId="3DE1AD12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6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开展合规培训和咨询。</w:t>
      </w:r>
    </w:p>
    <w:p w14:paraId="15B9666E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7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支持新业务发展。</w:t>
      </w:r>
    </w:p>
    <w:p w14:paraId="049B4A1A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8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与监管机构日常联系。</w:t>
      </w:r>
    </w:p>
    <w:p w14:paraId="54768D81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9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处理客户投诉。</w:t>
      </w:r>
    </w:p>
    <w:p w14:paraId="631F6155" w14:textId="77777777" w:rsidR="00000000" w:rsidRDefault="00973F27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ascii="宋体" w:hAnsi="宋体" w:cs="宋体" w:hint="eastAsia"/>
          <w:sz w:val="30"/>
          <w:szCs w:val="30"/>
        </w:rPr>
        <w:t>10</w:t>
      </w:r>
      <w:r>
        <w:rPr>
          <w:rFonts w:ascii="宋体" w:hAnsi="宋体" w:cs="宋体" w:hint="eastAsia"/>
          <w:sz w:val="30"/>
          <w:szCs w:val="30"/>
        </w:rPr>
        <w:t>、</w:t>
      </w:r>
      <w:r>
        <w:rPr>
          <w:rFonts w:ascii="宋体" w:hAnsi="宋体" w:cs="宋体" w:hint="eastAsia"/>
          <w:sz w:val="30"/>
          <w:szCs w:val="30"/>
        </w:rPr>
        <w:t>特定职责。</w:t>
      </w:r>
    </w:p>
    <w:p w14:paraId="45E5E10E" w14:textId="77777777" w:rsidR="00000000" w:rsidRPr="00973F27" w:rsidRDefault="00973F27">
      <w:pPr>
        <w:spacing w:line="480" w:lineRule="exact"/>
        <w:ind w:firstLineChars="200" w:firstLine="600"/>
        <w:rPr>
          <w:rFonts w:ascii="宋体" w:hAnsi="宋体" w:cs="宋体" w:hint="eastAsia"/>
          <w:b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</w:t>
      </w:r>
      <w:r w:rsidRPr="00973F27">
        <w:rPr>
          <w:rFonts w:ascii="宋体" w:hAnsi="宋体" w:cs="宋体" w:hint="eastAsia"/>
          <w:b/>
          <w:sz w:val="30"/>
          <w:szCs w:val="30"/>
        </w:rPr>
        <w:t>七</w:t>
      </w:r>
      <w:r w:rsidRPr="00973F27">
        <w:rPr>
          <w:rFonts w:ascii="宋体" w:hAnsi="宋体" w:cs="宋体" w:hint="eastAsia"/>
          <w:b/>
          <w:sz w:val="30"/>
          <w:szCs w:val="30"/>
        </w:rPr>
        <w:t>、合规管理与职业操守：</w:t>
      </w:r>
      <w:r w:rsidRPr="00973F27">
        <w:rPr>
          <w:rFonts w:ascii="宋体" w:hAnsi="宋体" w:cs="宋体" w:hint="eastAsia"/>
          <w:b/>
          <w:sz w:val="30"/>
          <w:szCs w:val="30"/>
        </w:rPr>
        <w:t>权、利、廉、责</w:t>
      </w:r>
    </w:p>
    <w:p w14:paraId="1EF7B47F" w14:textId="77777777" w:rsidR="00000000" w:rsidRPr="00C60186" w:rsidRDefault="00973F27" w:rsidP="00C60186">
      <w:pPr>
        <w:spacing w:line="480" w:lineRule="exact"/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注：以上内容为正课内容，在案例剖析中举一反三、融汇贯通，加入与之关联的法律知识和律师办案实践操作内容，内容可根据企业需求、时间和现场情况作适当调整。</w:t>
      </w:r>
    </w:p>
    <w:p w14:paraId="1FD440E2" w14:textId="77777777" w:rsidR="00000000" w:rsidRDefault="00973F27">
      <w:pPr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pict w14:anchorId="57FAEF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i1026" type="#_x0000_t75" alt="陕西农信社" style="width:460pt;height:345pt;mso-wrap-style:square;mso-position-horizontal-relative:page;mso-position-vertical-relative:page">
            <v:fill o:detectmouseclick="t"/>
            <v:imagedata r:id="rId5" o:title="陕西农信社"/>
          </v:shape>
        </w:pict>
      </w:r>
    </w:p>
    <w:p w14:paraId="2CC9E24A" w14:textId="77777777" w:rsidR="00000000" w:rsidRDefault="00973F27">
      <w:pPr>
        <w:ind w:firstLineChars="200" w:firstLine="600"/>
        <w:rPr>
          <w:rFonts w:ascii="宋体" w:hAnsi="宋体" w:cs="宋体" w:hint="eastAsia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lastRenderedPageBreak/>
        <w:pict w14:anchorId="50C69BB2">
          <v:shape id="图片 3" o:spid="_x0000_i1027" type="#_x0000_t75" alt="德州银行业协会" style="width:463pt;height:276pt;mso-wrap-style:square;mso-position-horizontal-relative:page;mso-position-vertical-relative:page">
            <v:fill o:detectmouseclick="t"/>
            <v:imagedata r:id="rId6" o:title="德州银行业协会"/>
          </v:shape>
        </w:pict>
      </w:r>
    </w:p>
    <w:sectPr w:rsidR="00000000">
      <w:pgSz w:w="11906" w:h="16838"/>
      <w:pgMar w:top="1157" w:right="1293" w:bottom="1157" w:left="134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C3DC9"/>
    <w:multiLevelType w:val="singleLevel"/>
    <w:tmpl w:val="582C3DC9"/>
    <w:lvl w:ilvl="0">
      <w:start w:val="3"/>
      <w:numFmt w:val="chineseCounting"/>
      <w:suff w:val="nothing"/>
      <w:lvlText w:val="%1、"/>
      <w:lvlJc w:val="left"/>
    </w:lvl>
  </w:abstractNum>
  <w:abstractNum w:abstractNumId="1">
    <w:nsid w:val="79120428"/>
    <w:multiLevelType w:val="hybridMultilevel"/>
    <w:tmpl w:val="41943984"/>
    <w:lvl w:ilvl="0" w:tplc="AA46AE9C">
      <w:start w:val="4"/>
      <w:numFmt w:val="japaneseCounting"/>
      <w:lvlText w:val="%1、"/>
      <w:lvlJc w:val="left"/>
      <w:pPr>
        <w:ind w:left="13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lowerLetter"/>
      <w:lvlText w:val="%5)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lowerLetter"/>
      <w:lvlText w:val="%8)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51818F0"/>
    <w:rsid w:val="00973F27"/>
    <w:rsid w:val="00C60186"/>
    <w:rsid w:val="051818F0"/>
    <w:rsid w:val="06EB2CD4"/>
    <w:rsid w:val="0EED6A13"/>
    <w:rsid w:val="43AF2CA1"/>
    <w:rsid w:val="6B7F2685"/>
    <w:rsid w:val="785E3EF2"/>
    <w:rsid w:val="787F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7068FD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Note Level 1" w:semiHidden="1" w:uiPriority="99" w:unhideWhenUsed="1"/>
    <w:lsdException w:name="Note Level 2" w:semiHidden="1" w:uiPriority="99" w:unhideWhenUsed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166</Words>
  <Characters>952</Characters>
  <Application>Microsoft Macintosh Word</Application>
  <DocSecurity>0</DocSecurity>
  <PresentationFormat/>
  <Lines>7</Lines>
  <Paragraphs>2</Paragraphs>
  <Slides>0</Slides>
  <Notes>0</Notes>
  <HiddenSlides>0</HiddenSlides>
  <MMClips>0</MMClips>
  <ScaleCrop>false</ScaleCrop>
  <Manager/>
  <Company/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zhangxucai</dc:creator>
  <cp:keywords/>
  <dc:description/>
  <cp:lastModifiedBy>张</cp:lastModifiedBy>
  <cp:revision>3</cp:revision>
  <dcterms:created xsi:type="dcterms:W3CDTF">2016-11-16T10:38:00Z</dcterms:created>
  <dcterms:modified xsi:type="dcterms:W3CDTF">2017-02-23T10:58:00Z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