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AB19A" w14:textId="7BD6FBEE" w:rsidR="002876FA" w:rsidRDefault="00017B9F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</w:t>
      </w:r>
      <w:r w:rsidR="00F1151F">
        <w:rPr>
          <w:rFonts w:ascii="黑体" w:eastAsia="黑体" w:hAnsi="黑体" w:cs="黑体" w:hint="eastAsia"/>
          <w:sz w:val="36"/>
          <w:szCs w:val="36"/>
        </w:rPr>
        <w:t>企业合同招投标知识产权</w:t>
      </w:r>
      <w:r>
        <w:rPr>
          <w:rFonts w:ascii="黑体" w:eastAsia="黑体" w:hAnsi="黑体" w:cs="黑体" w:hint="eastAsia"/>
          <w:sz w:val="36"/>
          <w:szCs w:val="36"/>
        </w:rPr>
        <w:t>法律风险防范》培训课纲</w:t>
      </w:r>
    </w:p>
    <w:p w14:paraId="6CCC3370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             法律讲师团团长  张绪才</w:t>
      </w:r>
    </w:p>
    <w:p w14:paraId="1B979068" w14:textId="47EF3478" w:rsidR="002876FA" w:rsidRDefault="00017B9F" w:rsidP="004D4A5F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</w:t>
      </w:r>
      <w:r>
        <w:rPr>
          <w:rFonts w:ascii="宋体" w:hAnsi="宋体" w:cs="宋体" w:hint="eastAsia"/>
          <w:b/>
          <w:bCs/>
          <w:sz w:val="30"/>
          <w:szCs w:val="30"/>
        </w:rPr>
        <w:t xml:space="preserve">   </w:t>
      </w:r>
    </w:p>
    <w:p w14:paraId="208BB5BB" w14:textId="04D29627" w:rsidR="002876FA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一、【课程背景】</w:t>
      </w:r>
    </w:p>
    <w:p w14:paraId="2AC79982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近年来，企业面临国内外市场竞争日趋激烈、法律环境愈益复杂的情势，对企业依法经营管理提出了更高的要求。企业诚实守信，依法经营，规范管理，和谐发展，注重提高企业经营者依法治企的能力，加强法律风险防控体系建设管理，促进企业管理水平和核心竞争力的提升，是保障企业规范运作和有效防范法律风险，可持续发展的关键。</w:t>
      </w:r>
    </w:p>
    <w:p w14:paraId="4658CA25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14:paraId="574FD6F0" w14:textId="7DE3B4BE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可根据需求选择，课时为一天</w:t>
      </w:r>
      <w:r w:rsidR="00897A2E">
        <w:rPr>
          <w:rFonts w:ascii="宋体" w:hAnsi="宋体" w:cs="宋体" w:hint="eastAsia"/>
          <w:sz w:val="30"/>
          <w:szCs w:val="30"/>
        </w:rPr>
        <w:t>或两天</w:t>
      </w:r>
      <w:r>
        <w:rPr>
          <w:rFonts w:ascii="宋体" w:hAnsi="宋体" w:cs="宋体" w:hint="eastAsia"/>
          <w:sz w:val="30"/>
          <w:szCs w:val="30"/>
        </w:rPr>
        <w:t>。</w:t>
      </w:r>
    </w:p>
    <w:p w14:paraId="2CF5ABCD" w14:textId="77777777" w:rsidR="002876FA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14:paraId="67CC9F8D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通过学习依法治企的理念意识，及主要法律风险点和预先采取权益受损时的救济方式，以案释法，教练式培训，能够建立起全程把控的思维格局，准确把握常用的法律风险点，及维护权益所需的证据、诉讼时效等法律技能，增强法律意识，学法守法用法，防范各种法律风险，杜绝不必要的损失和责任。</w:t>
      </w:r>
    </w:p>
    <w:p w14:paraId="3011DA63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</w:t>
      </w:r>
      <w:r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14:paraId="37F3CC9A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企业总裁、高中级管理人员、法</w:t>
      </w:r>
      <w:proofErr w:type="gramStart"/>
      <w:r>
        <w:rPr>
          <w:rFonts w:ascii="宋体" w:hAnsi="宋体" w:cs="宋体" w:hint="eastAsia"/>
          <w:sz w:val="30"/>
          <w:szCs w:val="30"/>
        </w:rPr>
        <w:t>务</w:t>
      </w:r>
      <w:proofErr w:type="gramEnd"/>
      <w:r>
        <w:rPr>
          <w:rFonts w:ascii="宋体" w:hAnsi="宋体" w:cs="宋体" w:hint="eastAsia"/>
          <w:sz w:val="30"/>
          <w:szCs w:val="30"/>
        </w:rPr>
        <w:t>人员、采购销售等有关岗位人员。</w:t>
      </w:r>
    </w:p>
    <w:p w14:paraId="1EFCF21C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14:paraId="68E0DE8E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1、独特的专业优势：张绪才老师系资深专业律师，法律功底深厚、办案实践经验丰富，法律培训针对性、实操性强，具有独特的专业优势。</w:t>
      </w:r>
    </w:p>
    <w:p w14:paraId="15C6EB3E" w14:textId="77777777" w:rsidR="002876FA" w:rsidRDefault="00017B9F">
      <w:pPr>
        <w:spacing w:line="48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2、独特的讲课技能和风格：张绪才老师最大的特点是不讲理论讲案例、不讲术语讲白话，理论案例化、案例故事化、故事情节化、情节实战化； 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02EF5232" w14:textId="62F77DC9" w:rsidR="002876FA" w:rsidRDefault="00017B9F">
      <w:pPr>
        <w:spacing w:line="480" w:lineRule="exact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14:paraId="2A718DD9" w14:textId="74C1B0E7" w:rsidR="006F78C7" w:rsidRPr="00021252" w:rsidRDefault="00017B9F" w:rsidP="00F1151F">
      <w:pPr>
        <w:spacing w:line="480" w:lineRule="exact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 xml:space="preserve">   </w:t>
      </w:r>
      <w:r w:rsidR="00F1151F">
        <w:rPr>
          <w:rFonts w:ascii="宋体" w:hAnsi="宋体" w:cs="宋体"/>
          <w:sz w:val="30"/>
          <w:szCs w:val="30"/>
        </w:rPr>
        <w:t xml:space="preserve"> </w:t>
      </w:r>
      <w:r w:rsidRPr="00021252">
        <w:rPr>
          <w:rFonts w:ascii="宋体" w:hAnsi="宋体" w:cs="宋体" w:hint="eastAsia"/>
          <w:b/>
          <w:bCs/>
          <w:sz w:val="32"/>
          <w:szCs w:val="32"/>
        </w:rPr>
        <w:t>第一部分</w:t>
      </w:r>
      <w:r w:rsidR="00F1151F" w:rsidRPr="00021252">
        <w:rPr>
          <w:rFonts w:ascii="宋体" w:hAnsi="宋体" w:cs="宋体" w:hint="eastAsia"/>
          <w:b/>
          <w:bCs/>
          <w:sz w:val="32"/>
          <w:szCs w:val="32"/>
        </w:rPr>
        <w:t xml:space="preserve"> </w:t>
      </w:r>
      <w:r w:rsidR="00F1151F" w:rsidRPr="00021252">
        <w:rPr>
          <w:rFonts w:ascii="宋体" w:hAnsi="宋体" w:cs="宋体"/>
          <w:b/>
          <w:bCs/>
          <w:sz w:val="32"/>
          <w:szCs w:val="32"/>
        </w:rPr>
        <w:t xml:space="preserve"> </w:t>
      </w:r>
      <w:r w:rsidR="006F78C7" w:rsidRPr="00021252">
        <w:rPr>
          <w:rFonts w:ascii="宋体" w:hAnsi="宋体" w:cs="宋体" w:hint="eastAsia"/>
          <w:b/>
          <w:sz w:val="30"/>
          <w:szCs w:val="30"/>
        </w:rPr>
        <w:t>企业</w:t>
      </w:r>
      <w:r w:rsidR="002828EF" w:rsidRPr="00021252">
        <w:rPr>
          <w:rFonts w:ascii="宋体" w:hAnsi="宋体" w:cs="宋体" w:hint="eastAsia"/>
          <w:b/>
          <w:sz w:val="30"/>
          <w:szCs w:val="30"/>
        </w:rPr>
        <w:t>商务</w:t>
      </w:r>
      <w:r w:rsidR="006F78C7" w:rsidRPr="00021252">
        <w:rPr>
          <w:rFonts w:ascii="宋体" w:hAnsi="宋体" w:cs="宋体" w:hint="eastAsia"/>
          <w:b/>
          <w:sz w:val="30"/>
          <w:szCs w:val="30"/>
        </w:rPr>
        <w:t>合同法律风险</w:t>
      </w:r>
      <w:r w:rsidR="00C36F0B" w:rsidRPr="00021252">
        <w:rPr>
          <w:rFonts w:ascii="宋体" w:hAnsi="宋体" w:cs="宋体" w:hint="eastAsia"/>
          <w:b/>
          <w:sz w:val="30"/>
          <w:szCs w:val="30"/>
        </w:rPr>
        <w:t>防范</w:t>
      </w:r>
    </w:p>
    <w:p w14:paraId="615B82FD" w14:textId="59598192" w:rsidR="006F78C7" w:rsidRPr="00021252" w:rsidRDefault="00F1151F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一</w:t>
      </w:r>
      <w:r w:rsidR="006F78C7" w:rsidRPr="00021252">
        <w:rPr>
          <w:rFonts w:ascii="宋体" w:hAnsi="宋体" w:cs="宋体" w:hint="eastAsia"/>
          <w:sz w:val="30"/>
          <w:szCs w:val="30"/>
        </w:rPr>
        <w:t>、违反签订合同基本原则的</w:t>
      </w:r>
      <w:proofErr w:type="gramStart"/>
      <w:r w:rsidR="006F78C7" w:rsidRPr="00021252">
        <w:rPr>
          <w:rFonts w:ascii="宋体" w:hAnsi="宋体" w:cs="宋体" w:hint="eastAsia"/>
          <w:sz w:val="30"/>
          <w:szCs w:val="30"/>
        </w:rPr>
        <w:t>的</w:t>
      </w:r>
      <w:proofErr w:type="gramEnd"/>
      <w:r w:rsidR="006F78C7" w:rsidRPr="00021252">
        <w:rPr>
          <w:rFonts w:ascii="宋体" w:hAnsi="宋体" w:cs="宋体" w:hint="eastAsia"/>
          <w:sz w:val="30"/>
          <w:szCs w:val="30"/>
        </w:rPr>
        <w:t>法律风险及其对策</w:t>
      </w:r>
    </w:p>
    <w:p w14:paraId="0EBD16DA" w14:textId="1AA38B9A" w:rsidR="006F78C7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二</w:t>
      </w:r>
      <w:r w:rsidR="006F78C7" w:rsidRPr="00021252">
        <w:rPr>
          <w:rFonts w:ascii="宋体" w:hAnsi="宋体" w:cs="宋体" w:hint="eastAsia"/>
          <w:sz w:val="30"/>
          <w:szCs w:val="30"/>
        </w:rPr>
        <w:t>、合同主要条款欠缺可能导致的法律风险及其对策</w:t>
      </w:r>
    </w:p>
    <w:p w14:paraId="0722751A" w14:textId="24E2F854" w:rsidR="006F78C7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三</w:t>
      </w:r>
      <w:r w:rsidR="006F78C7" w:rsidRPr="00021252">
        <w:rPr>
          <w:rFonts w:ascii="宋体" w:hAnsi="宋体" w:cs="宋体" w:hint="eastAsia"/>
          <w:sz w:val="30"/>
          <w:szCs w:val="30"/>
        </w:rPr>
        <w:t>、违反合同的履行原则的法律风险及其对策</w:t>
      </w:r>
    </w:p>
    <w:p w14:paraId="4FF319FF" w14:textId="7C050C25" w:rsidR="006F78C7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四</w:t>
      </w:r>
      <w:r w:rsidR="006F78C7" w:rsidRPr="00021252">
        <w:rPr>
          <w:rFonts w:ascii="宋体" w:hAnsi="宋体" w:cs="宋体" w:hint="eastAsia"/>
          <w:sz w:val="30"/>
          <w:szCs w:val="30"/>
        </w:rPr>
        <w:t>、违约责任的法律风险及其对策</w:t>
      </w:r>
    </w:p>
    <w:p w14:paraId="22B847DF" w14:textId="12DDA579" w:rsidR="007220FD" w:rsidRPr="00021252" w:rsidRDefault="006F78C7" w:rsidP="007220FD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 xml:space="preserve"> </w:t>
      </w:r>
      <w:r w:rsidR="007220FD" w:rsidRPr="00021252">
        <w:rPr>
          <w:rFonts w:ascii="宋体" w:hAnsi="宋体" w:cs="宋体"/>
          <w:sz w:val="30"/>
          <w:szCs w:val="30"/>
        </w:rPr>
        <w:t xml:space="preserve"> </w:t>
      </w:r>
      <w:r w:rsidR="00F1151F" w:rsidRPr="00021252">
        <w:rPr>
          <w:rFonts w:ascii="宋体" w:hAnsi="宋体" w:cs="宋体" w:hint="eastAsia"/>
          <w:sz w:val="30"/>
          <w:szCs w:val="30"/>
        </w:rPr>
        <w:t>五</w:t>
      </w:r>
      <w:r w:rsidRPr="00021252">
        <w:rPr>
          <w:rFonts w:ascii="宋体" w:hAnsi="宋体" w:cs="宋体" w:hint="eastAsia"/>
          <w:sz w:val="30"/>
          <w:szCs w:val="30"/>
        </w:rPr>
        <w:t>、诉讼时效的法律风险及其对策</w:t>
      </w:r>
    </w:p>
    <w:p w14:paraId="3B7DE0EE" w14:textId="5B3C6184" w:rsidR="006F78C7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六</w:t>
      </w:r>
      <w:r w:rsidR="006F78C7" w:rsidRPr="00021252">
        <w:rPr>
          <w:rFonts w:ascii="宋体" w:hAnsi="宋体" w:cs="宋体" w:hint="eastAsia"/>
          <w:sz w:val="30"/>
          <w:szCs w:val="30"/>
        </w:rPr>
        <w:t>、证据的法律风险及其对策</w:t>
      </w:r>
    </w:p>
    <w:p w14:paraId="7ABD7189" w14:textId="4E12BFE0" w:rsidR="00C36F0B" w:rsidRPr="00021252" w:rsidRDefault="00C36F0B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案例分析：</w:t>
      </w:r>
    </w:p>
    <w:p w14:paraId="74DD7C19" w14:textId="27DA45D8" w:rsidR="006F78C7" w:rsidRPr="00021252" w:rsidRDefault="00F1151F" w:rsidP="00F1151F">
      <w:pPr>
        <w:spacing w:line="480" w:lineRule="exact"/>
        <w:ind w:firstLineChars="300" w:firstLine="904"/>
        <w:rPr>
          <w:rFonts w:ascii="宋体" w:hAnsi="宋体" w:cs="宋体"/>
          <w:b/>
          <w:sz w:val="30"/>
          <w:szCs w:val="30"/>
        </w:rPr>
      </w:pPr>
      <w:r w:rsidRPr="00021252">
        <w:rPr>
          <w:rFonts w:ascii="宋体" w:hAnsi="宋体" w:cs="宋体" w:hint="eastAsia"/>
          <w:b/>
          <w:sz w:val="30"/>
          <w:szCs w:val="30"/>
        </w:rPr>
        <w:t xml:space="preserve">第二部分 </w:t>
      </w:r>
      <w:r w:rsidRPr="00021252">
        <w:rPr>
          <w:rFonts w:ascii="宋体" w:hAnsi="宋体" w:cs="宋体"/>
          <w:b/>
          <w:sz w:val="30"/>
          <w:szCs w:val="30"/>
        </w:rPr>
        <w:t xml:space="preserve"> </w:t>
      </w:r>
      <w:r w:rsidR="006F78C7" w:rsidRPr="00021252">
        <w:rPr>
          <w:rFonts w:ascii="宋体" w:hAnsi="宋体" w:cs="宋体" w:hint="eastAsia"/>
          <w:b/>
          <w:sz w:val="30"/>
          <w:szCs w:val="30"/>
        </w:rPr>
        <w:t>招投标法律风险防范</w:t>
      </w:r>
    </w:p>
    <w:p w14:paraId="1A39AC3F" w14:textId="423517AF" w:rsidR="00F1151F" w:rsidRPr="00021252" w:rsidRDefault="00F1151F" w:rsidP="00F1151F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一、招标投标的法规修订与改革动向</w:t>
      </w:r>
    </w:p>
    <w:p w14:paraId="3191A469" w14:textId="062CF17E" w:rsidR="00F1151F" w:rsidRPr="00021252" w:rsidRDefault="00F1151F" w:rsidP="00F1151F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1、2017年《招标投标法》的修订情况</w:t>
      </w:r>
    </w:p>
    <w:p w14:paraId="3B5D1A79" w14:textId="43BCBD94" w:rsidR="00F1151F" w:rsidRPr="00021252" w:rsidRDefault="00F1151F" w:rsidP="00F1151F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2、2018年招投标改革与动向</w:t>
      </w:r>
    </w:p>
    <w:p w14:paraId="6AB8070F" w14:textId="51179CBA" w:rsidR="007220FD" w:rsidRPr="00021252" w:rsidRDefault="00F1151F" w:rsidP="00F1151F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二</w:t>
      </w:r>
      <w:r w:rsidR="007220FD" w:rsidRPr="00021252">
        <w:rPr>
          <w:rFonts w:ascii="宋体" w:hAnsi="宋体" w:cs="宋体" w:hint="eastAsia"/>
          <w:sz w:val="30"/>
          <w:szCs w:val="30"/>
        </w:rPr>
        <w:t xml:space="preserve">、招投标基本原则 </w:t>
      </w:r>
    </w:p>
    <w:p w14:paraId="0C68C15B" w14:textId="48FA96B9" w:rsidR="007220FD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三</w:t>
      </w:r>
      <w:r w:rsidR="007220FD" w:rsidRPr="00021252">
        <w:rPr>
          <w:rFonts w:ascii="宋体" w:hAnsi="宋体" w:cs="宋体" w:hint="eastAsia"/>
          <w:sz w:val="30"/>
          <w:szCs w:val="30"/>
        </w:rPr>
        <w:t>、招标程序</w:t>
      </w:r>
    </w:p>
    <w:p w14:paraId="718C10EB" w14:textId="2553C0F7" w:rsidR="007220FD" w:rsidRPr="00021252" w:rsidRDefault="00F1151F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四</w:t>
      </w:r>
      <w:r w:rsidR="007220FD" w:rsidRPr="00021252">
        <w:rPr>
          <w:rFonts w:ascii="宋体" w:hAnsi="宋体" w:cs="宋体" w:hint="eastAsia"/>
          <w:sz w:val="30"/>
          <w:szCs w:val="30"/>
        </w:rPr>
        <w:t>、招标方式</w:t>
      </w:r>
    </w:p>
    <w:p w14:paraId="498D67ED" w14:textId="20D68106" w:rsidR="007220FD" w:rsidRPr="00021252" w:rsidRDefault="00021252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五</w:t>
      </w:r>
      <w:r w:rsidR="007220FD" w:rsidRPr="00021252">
        <w:rPr>
          <w:rFonts w:ascii="宋体" w:hAnsi="宋体" w:cs="宋体" w:hint="eastAsia"/>
          <w:sz w:val="30"/>
          <w:szCs w:val="30"/>
        </w:rPr>
        <w:t>、招标文件</w:t>
      </w:r>
    </w:p>
    <w:p w14:paraId="6A2197E6" w14:textId="4C5BA515" w:rsidR="007220FD" w:rsidRPr="00021252" w:rsidRDefault="00021252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六</w:t>
      </w:r>
      <w:r w:rsidR="007220FD" w:rsidRPr="00021252">
        <w:rPr>
          <w:rFonts w:ascii="宋体" w:hAnsi="宋体" w:cs="宋体" w:hint="eastAsia"/>
          <w:sz w:val="30"/>
          <w:szCs w:val="30"/>
        </w:rPr>
        <w:t>、开标程序</w:t>
      </w:r>
    </w:p>
    <w:p w14:paraId="02D336F7" w14:textId="0529AB82" w:rsidR="007220FD" w:rsidRPr="00021252" w:rsidRDefault="00021252" w:rsidP="007220FD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七</w:t>
      </w:r>
      <w:r w:rsidR="007220FD" w:rsidRPr="00021252">
        <w:rPr>
          <w:rFonts w:ascii="宋体" w:hAnsi="宋体" w:cs="宋体" w:hint="eastAsia"/>
          <w:sz w:val="30"/>
          <w:szCs w:val="30"/>
        </w:rPr>
        <w:t>、评标委员会的规定和评标方法</w:t>
      </w:r>
    </w:p>
    <w:p w14:paraId="14A4C1D6" w14:textId="081D17B5" w:rsidR="007220FD" w:rsidRPr="00021252" w:rsidRDefault="00021252" w:rsidP="00E36D7A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八</w:t>
      </w:r>
      <w:r w:rsidR="007220FD" w:rsidRPr="00021252">
        <w:rPr>
          <w:rFonts w:ascii="宋体" w:hAnsi="宋体" w:cs="宋体" w:hint="eastAsia"/>
          <w:sz w:val="30"/>
          <w:szCs w:val="30"/>
        </w:rPr>
        <w:t>、中标的要求</w:t>
      </w:r>
    </w:p>
    <w:p w14:paraId="5012A856" w14:textId="3B79F410" w:rsidR="00C36F0B" w:rsidRPr="00021252" w:rsidRDefault="00C36F0B" w:rsidP="00E36D7A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案例分析：</w:t>
      </w:r>
    </w:p>
    <w:p w14:paraId="5406D4B2" w14:textId="226CA730" w:rsidR="00021252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九、招投标中的法律风险点分析</w:t>
      </w:r>
    </w:p>
    <w:p w14:paraId="7059BA69" w14:textId="2B937BF3" w:rsidR="00F1151F" w:rsidRPr="00021252" w:rsidRDefault="00F1151F" w:rsidP="00021252">
      <w:pPr>
        <w:spacing w:line="480" w:lineRule="exact"/>
        <w:ind w:firstLineChars="300" w:firstLine="904"/>
        <w:rPr>
          <w:rFonts w:ascii="宋体" w:hAnsi="宋体" w:cs="宋体"/>
          <w:b/>
          <w:sz w:val="30"/>
          <w:szCs w:val="30"/>
        </w:rPr>
      </w:pPr>
      <w:r w:rsidRPr="00021252">
        <w:rPr>
          <w:rFonts w:ascii="宋体" w:hAnsi="宋体" w:cs="宋体" w:hint="eastAsia"/>
          <w:b/>
          <w:sz w:val="30"/>
          <w:szCs w:val="30"/>
        </w:rPr>
        <w:t>第</w:t>
      </w:r>
      <w:r w:rsidR="00021252" w:rsidRPr="00021252">
        <w:rPr>
          <w:rFonts w:ascii="宋体" w:hAnsi="宋体" w:cs="宋体" w:hint="eastAsia"/>
          <w:b/>
          <w:sz w:val="30"/>
          <w:szCs w:val="30"/>
        </w:rPr>
        <w:t>三</w:t>
      </w:r>
      <w:r w:rsidRPr="00021252">
        <w:rPr>
          <w:rFonts w:ascii="宋体" w:hAnsi="宋体" w:cs="宋体" w:hint="eastAsia"/>
          <w:b/>
          <w:sz w:val="30"/>
          <w:szCs w:val="30"/>
        </w:rPr>
        <w:t>部分  知识产权法律风险防范</w:t>
      </w:r>
    </w:p>
    <w:p w14:paraId="70FE57AF" w14:textId="08CA1958" w:rsidR="00F1151F" w:rsidRPr="00021252" w:rsidRDefault="00F1151F" w:rsidP="00F1151F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 xml:space="preserve"> </w:t>
      </w:r>
      <w:r w:rsidR="00021252" w:rsidRPr="00021252">
        <w:rPr>
          <w:rFonts w:ascii="宋体" w:hAnsi="宋体" w:cs="宋体"/>
          <w:sz w:val="30"/>
          <w:szCs w:val="30"/>
        </w:rPr>
        <w:t xml:space="preserve"> </w:t>
      </w:r>
      <w:r w:rsidRPr="00021252">
        <w:rPr>
          <w:rFonts w:ascii="宋体" w:hAnsi="宋体" w:cs="宋体" w:hint="eastAsia"/>
          <w:sz w:val="30"/>
          <w:szCs w:val="30"/>
        </w:rPr>
        <w:t>一、案例</w:t>
      </w:r>
      <w:r w:rsidR="00021252" w:rsidRPr="00021252">
        <w:rPr>
          <w:rFonts w:ascii="宋体" w:hAnsi="宋体" w:cs="宋体" w:hint="eastAsia"/>
          <w:sz w:val="30"/>
          <w:szCs w:val="30"/>
        </w:rPr>
        <w:t>解读</w:t>
      </w:r>
      <w:r w:rsidRPr="00021252">
        <w:rPr>
          <w:rFonts w:ascii="宋体" w:hAnsi="宋体" w:cs="宋体" w:hint="eastAsia"/>
          <w:sz w:val="30"/>
          <w:szCs w:val="30"/>
        </w:rPr>
        <w:t>：此起彼伏的重大知识产权诉讼</w:t>
      </w:r>
    </w:p>
    <w:p w14:paraId="2C918411" w14:textId="77777777" w:rsidR="00F1151F" w:rsidRPr="00021252" w:rsidRDefault="00F1151F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二、什么是知识产权?</w:t>
      </w:r>
    </w:p>
    <w:p w14:paraId="1DE366A4" w14:textId="5AA38480" w:rsidR="00F1151F" w:rsidRPr="00021252" w:rsidRDefault="00F1151F" w:rsidP="00F1151F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 xml:space="preserve">  三、企业为什么要加强知识产权管理？</w:t>
      </w:r>
    </w:p>
    <w:p w14:paraId="76B18C96" w14:textId="25555A5C" w:rsidR="00F1151F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四</w:t>
      </w:r>
      <w:r w:rsidR="00F1151F" w:rsidRPr="00021252">
        <w:rPr>
          <w:rFonts w:ascii="宋体" w:hAnsi="宋体" w:cs="宋体" w:hint="eastAsia"/>
          <w:sz w:val="30"/>
          <w:szCs w:val="30"/>
        </w:rPr>
        <w:t>、知识产权的法律性质和特征</w:t>
      </w:r>
    </w:p>
    <w:p w14:paraId="146B5A85" w14:textId="77777777" w:rsidR="00F1151F" w:rsidRPr="00021252" w:rsidRDefault="00F1151F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1、知识产权的法律性质：</w:t>
      </w:r>
    </w:p>
    <w:p w14:paraId="757C55E3" w14:textId="77777777" w:rsidR="00F1151F" w:rsidRPr="00021252" w:rsidRDefault="00F1151F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2、知识产权的特征</w:t>
      </w:r>
    </w:p>
    <w:p w14:paraId="700521BE" w14:textId="77777777" w:rsidR="00F1151F" w:rsidRPr="00021252" w:rsidRDefault="00F1151F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案例分析：苹果vs.三星 专利侵权诉讼</w:t>
      </w:r>
    </w:p>
    <w:p w14:paraId="0FEC7A6D" w14:textId="2ED30A5C" w:rsidR="00F1151F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五</w:t>
      </w:r>
      <w:r w:rsidR="00F1151F" w:rsidRPr="00021252">
        <w:rPr>
          <w:rFonts w:ascii="宋体" w:hAnsi="宋体" w:cs="宋体" w:hint="eastAsia"/>
          <w:sz w:val="30"/>
          <w:szCs w:val="30"/>
        </w:rPr>
        <w:t>、</w:t>
      </w:r>
      <w:r w:rsidRPr="00021252">
        <w:rPr>
          <w:rFonts w:ascii="宋体" w:hAnsi="宋体" w:cs="宋体" w:hint="eastAsia"/>
          <w:sz w:val="30"/>
          <w:szCs w:val="30"/>
        </w:rPr>
        <w:t>知识产权</w:t>
      </w:r>
      <w:r w:rsidR="00F1151F" w:rsidRPr="00021252">
        <w:rPr>
          <w:rFonts w:ascii="宋体" w:hAnsi="宋体" w:cs="宋体" w:hint="eastAsia"/>
          <w:sz w:val="30"/>
          <w:szCs w:val="30"/>
        </w:rPr>
        <w:t>法律风险与保护</w:t>
      </w:r>
    </w:p>
    <w:p w14:paraId="11104E9D" w14:textId="6BC69E27" w:rsidR="00F1151F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lastRenderedPageBreak/>
        <w:t>1、</w:t>
      </w:r>
      <w:r w:rsidR="00F1151F" w:rsidRPr="00021252">
        <w:rPr>
          <w:rFonts w:ascii="宋体" w:hAnsi="宋体" w:cs="宋体" w:hint="eastAsia"/>
          <w:sz w:val="30"/>
          <w:szCs w:val="30"/>
        </w:rPr>
        <w:t>案例分析：苹果 / 唯冠 iPad商标案</w:t>
      </w:r>
    </w:p>
    <w:p w14:paraId="735BE93A" w14:textId="5F87A0AC" w:rsidR="00F1151F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2、</w:t>
      </w:r>
      <w:r w:rsidR="00F1151F" w:rsidRPr="00021252">
        <w:rPr>
          <w:rFonts w:ascii="宋体" w:hAnsi="宋体" w:cs="宋体" w:hint="eastAsia"/>
          <w:sz w:val="30"/>
          <w:szCs w:val="30"/>
        </w:rPr>
        <w:t>案例分析：中国“客车侵权第一案”</w:t>
      </w:r>
    </w:p>
    <w:p w14:paraId="280F4677" w14:textId="394401E2" w:rsidR="00F1151F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3、</w:t>
      </w:r>
      <w:r w:rsidR="00F1151F" w:rsidRPr="00021252">
        <w:rPr>
          <w:rFonts w:ascii="宋体" w:hAnsi="宋体" w:cs="宋体" w:hint="eastAsia"/>
          <w:sz w:val="30"/>
          <w:szCs w:val="30"/>
        </w:rPr>
        <w:t>案例分析：家乐福的LV</w:t>
      </w:r>
    </w:p>
    <w:p w14:paraId="6D7ADF66" w14:textId="77777777" w:rsidR="00021252" w:rsidRPr="00021252" w:rsidRDefault="00021252" w:rsidP="00021252">
      <w:pPr>
        <w:spacing w:line="480" w:lineRule="exact"/>
        <w:ind w:firstLineChars="300" w:firstLine="900"/>
        <w:rPr>
          <w:rFonts w:ascii="宋体" w:hAnsi="宋体" w:cs="宋体"/>
          <w:sz w:val="30"/>
          <w:szCs w:val="30"/>
        </w:rPr>
      </w:pPr>
      <w:r w:rsidRPr="00021252">
        <w:rPr>
          <w:rFonts w:ascii="宋体" w:hAnsi="宋体" w:cs="宋体" w:hint="eastAsia"/>
          <w:sz w:val="30"/>
          <w:szCs w:val="30"/>
        </w:rPr>
        <w:t>4、</w:t>
      </w:r>
      <w:r w:rsidR="00F1151F" w:rsidRPr="00021252">
        <w:rPr>
          <w:rFonts w:ascii="宋体" w:hAnsi="宋体" w:cs="宋体" w:hint="eastAsia"/>
          <w:sz w:val="30"/>
          <w:szCs w:val="30"/>
        </w:rPr>
        <w:t>案例分析：“小家伙”被侵权获赔六千万</w:t>
      </w:r>
    </w:p>
    <w:p w14:paraId="4D2E7A71" w14:textId="77777777" w:rsidR="00377B20" w:rsidRDefault="00377B20" w:rsidP="00377B20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</w:p>
    <w:p w14:paraId="58FBED38" w14:textId="55021D64" w:rsidR="002876FA" w:rsidRDefault="00017B9F" w:rsidP="00377B20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bookmarkStart w:id="0" w:name="_GoBack"/>
      <w:bookmarkEnd w:id="0"/>
      <w:r>
        <w:rPr>
          <w:rFonts w:ascii="宋体" w:hAnsi="宋体" w:cs="宋体" w:hint="eastAsia"/>
          <w:sz w:val="30"/>
          <w:szCs w:val="30"/>
        </w:rPr>
        <w:t>注：以上内容为正课内容，在案例剖析中举一反三、</w:t>
      </w:r>
      <w:proofErr w:type="gramStart"/>
      <w:r>
        <w:rPr>
          <w:rFonts w:ascii="宋体" w:hAnsi="宋体" w:cs="宋体" w:hint="eastAsia"/>
          <w:sz w:val="30"/>
          <w:szCs w:val="30"/>
        </w:rPr>
        <w:t>融汇贯通</w:t>
      </w:r>
      <w:proofErr w:type="gramEnd"/>
      <w:r>
        <w:rPr>
          <w:rFonts w:ascii="宋体" w:hAnsi="宋体" w:cs="宋体" w:hint="eastAsia"/>
          <w:sz w:val="30"/>
          <w:szCs w:val="30"/>
        </w:rPr>
        <w:t>，加入与之关联的法律知识和实</w:t>
      </w:r>
      <w:r w:rsidR="002828EF">
        <w:rPr>
          <w:rFonts w:ascii="宋体" w:hAnsi="宋体" w:cs="宋体" w:hint="eastAsia"/>
          <w:sz w:val="30"/>
          <w:szCs w:val="30"/>
        </w:rPr>
        <w:t>务</w:t>
      </w:r>
      <w:r>
        <w:rPr>
          <w:rFonts w:ascii="宋体" w:hAnsi="宋体" w:cs="宋体" w:hint="eastAsia"/>
          <w:sz w:val="30"/>
          <w:szCs w:val="30"/>
        </w:rPr>
        <w:t>内容，内容可根据情况作适当调整。</w:t>
      </w:r>
    </w:p>
    <w:p w14:paraId="027C1DAE" w14:textId="4DBECB8B" w:rsidR="006B3E7D" w:rsidRDefault="006B3E7D" w:rsidP="00377B20">
      <w:pPr>
        <w:spacing w:line="48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6B3E7D">
        <w:rPr>
          <w:rFonts w:ascii="宋体" w:hAnsi="宋体" w:cs="宋体" w:hint="eastAsia"/>
          <w:sz w:val="30"/>
          <w:szCs w:val="30"/>
        </w:rPr>
        <w:t>张绪才老师服务过的客户：山东省企业协会、济南市企业协会、济南西城集团、山东同智创新能源有限公司、中海油天津分公司、深圳招诚集团、河北新兴铸管集团、中车集团、北汽集团、北京中海实业、</w:t>
      </w:r>
      <w:proofErr w:type="gramStart"/>
      <w:r w:rsidRPr="006B3E7D">
        <w:rPr>
          <w:rFonts w:ascii="宋体" w:hAnsi="宋体" w:cs="宋体" w:hint="eastAsia"/>
          <w:sz w:val="30"/>
          <w:szCs w:val="30"/>
        </w:rPr>
        <w:t>淄</w:t>
      </w:r>
      <w:proofErr w:type="gramEnd"/>
      <w:r w:rsidRPr="006B3E7D">
        <w:rPr>
          <w:rFonts w:ascii="宋体" w:hAnsi="宋体" w:cs="宋体" w:hint="eastAsia"/>
          <w:sz w:val="30"/>
          <w:szCs w:val="30"/>
        </w:rPr>
        <w:t>矿集团、</w:t>
      </w:r>
      <w:proofErr w:type="gramStart"/>
      <w:r>
        <w:rPr>
          <w:rFonts w:ascii="宋体" w:hAnsi="宋体" w:cs="宋体" w:hint="eastAsia"/>
          <w:sz w:val="30"/>
          <w:szCs w:val="30"/>
        </w:rPr>
        <w:t>济矿集团</w:t>
      </w:r>
      <w:proofErr w:type="gramEnd"/>
      <w:r>
        <w:rPr>
          <w:rFonts w:ascii="宋体" w:hAnsi="宋体" w:cs="宋体" w:hint="eastAsia"/>
          <w:sz w:val="30"/>
          <w:szCs w:val="30"/>
        </w:rPr>
        <w:t>、</w:t>
      </w:r>
      <w:r w:rsidRPr="006B3E7D">
        <w:rPr>
          <w:rFonts w:ascii="宋体" w:hAnsi="宋体" w:cs="宋体" w:hint="eastAsia"/>
          <w:sz w:val="30"/>
          <w:szCs w:val="30"/>
        </w:rPr>
        <w:t>新疆石油建工集团、陕西神华集团、大连华晨集团、内蒙古移动、吉林电信、上海联通、国电扬州公司、国电石嘴山发电厂、国电嘉兴电厂、</w:t>
      </w:r>
      <w:r w:rsidR="00021252">
        <w:rPr>
          <w:rFonts w:ascii="宋体" w:hAnsi="宋体" w:cs="宋体" w:hint="eastAsia"/>
          <w:sz w:val="30"/>
          <w:szCs w:val="30"/>
        </w:rPr>
        <w:t>乐清电厂、</w:t>
      </w:r>
      <w:r w:rsidRPr="006B3E7D">
        <w:rPr>
          <w:rFonts w:ascii="宋体" w:hAnsi="宋体" w:cs="宋体" w:hint="eastAsia"/>
          <w:sz w:val="30"/>
          <w:szCs w:val="30"/>
        </w:rPr>
        <w:t>华电蒲城电厂、</w:t>
      </w:r>
      <w:proofErr w:type="gramStart"/>
      <w:r w:rsidRPr="006B3E7D">
        <w:rPr>
          <w:rFonts w:ascii="宋体" w:hAnsi="宋体" w:cs="宋体" w:hint="eastAsia"/>
          <w:sz w:val="30"/>
          <w:szCs w:val="30"/>
        </w:rPr>
        <w:t>长治</w:t>
      </w:r>
      <w:proofErr w:type="gramEnd"/>
      <w:r w:rsidRPr="006B3E7D">
        <w:rPr>
          <w:rFonts w:ascii="宋体" w:hAnsi="宋体" w:cs="宋体" w:hint="eastAsia"/>
          <w:sz w:val="30"/>
          <w:szCs w:val="30"/>
        </w:rPr>
        <w:t>章泽电厂，</w:t>
      </w:r>
      <w:r w:rsidR="00021252">
        <w:rPr>
          <w:rFonts w:ascii="宋体" w:hAnsi="宋体" w:cs="宋体" w:hint="eastAsia"/>
          <w:sz w:val="30"/>
          <w:szCs w:val="30"/>
        </w:rPr>
        <w:t>浙江水利水电投资公司、唐山曹妃甸港务公司、</w:t>
      </w:r>
      <w:r w:rsidRPr="006B3E7D">
        <w:rPr>
          <w:rFonts w:ascii="宋体" w:hAnsi="宋体" w:cs="宋体" w:hint="eastAsia"/>
          <w:sz w:val="30"/>
          <w:szCs w:val="30"/>
        </w:rPr>
        <w:t>北京中行、天津农行、</w:t>
      </w:r>
      <w:r w:rsidR="00021252">
        <w:rPr>
          <w:rFonts w:ascii="宋体" w:hAnsi="宋体" w:cs="宋体" w:hint="eastAsia"/>
          <w:sz w:val="30"/>
          <w:szCs w:val="30"/>
        </w:rPr>
        <w:t>中信银行、招商银行、交通银行、工商银行、</w:t>
      </w:r>
      <w:r w:rsidRPr="006B3E7D">
        <w:rPr>
          <w:rFonts w:ascii="宋体" w:hAnsi="宋体" w:cs="宋体" w:hint="eastAsia"/>
          <w:sz w:val="30"/>
          <w:szCs w:val="30"/>
        </w:rPr>
        <w:t>陕西信用联社、江西邮储银行系统等。</w:t>
      </w:r>
    </w:p>
    <w:p w14:paraId="53C8632C" w14:textId="77777777" w:rsidR="002876FA" w:rsidRDefault="002876FA">
      <w:pPr>
        <w:spacing w:line="480" w:lineRule="exact"/>
        <w:ind w:firstLine="600"/>
        <w:rPr>
          <w:rFonts w:ascii="宋体" w:hAnsi="宋体" w:cs="宋体"/>
          <w:sz w:val="30"/>
          <w:szCs w:val="30"/>
        </w:rPr>
      </w:pPr>
    </w:p>
    <w:sectPr w:rsidR="002876FA" w:rsidSect="00E36D7A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DD8C6C" w14:textId="77777777" w:rsidR="00CD1985" w:rsidRDefault="00CD1985" w:rsidP="006B3E7D">
      <w:r>
        <w:separator/>
      </w:r>
    </w:p>
  </w:endnote>
  <w:endnote w:type="continuationSeparator" w:id="0">
    <w:p w14:paraId="4CCB57E5" w14:textId="77777777" w:rsidR="00CD1985" w:rsidRDefault="00CD1985" w:rsidP="006B3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62105" w14:textId="77777777" w:rsidR="00CD1985" w:rsidRDefault="00CD1985" w:rsidP="006B3E7D">
      <w:r>
        <w:separator/>
      </w:r>
    </w:p>
  </w:footnote>
  <w:footnote w:type="continuationSeparator" w:id="0">
    <w:p w14:paraId="5B2A7B9C" w14:textId="77777777" w:rsidR="00CD1985" w:rsidRDefault="00CD1985" w:rsidP="006B3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7256D5"/>
    <w:multiLevelType w:val="singleLevel"/>
    <w:tmpl w:val="587256D5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480F"/>
    <w:rsid w:val="00017B9F"/>
    <w:rsid w:val="00021252"/>
    <w:rsid w:val="001449F8"/>
    <w:rsid w:val="002828EF"/>
    <w:rsid w:val="00283D5D"/>
    <w:rsid w:val="002876FA"/>
    <w:rsid w:val="002F2C22"/>
    <w:rsid w:val="00377B20"/>
    <w:rsid w:val="004D4A5F"/>
    <w:rsid w:val="006B3E7D"/>
    <w:rsid w:val="006F78C7"/>
    <w:rsid w:val="007109AF"/>
    <w:rsid w:val="007220FD"/>
    <w:rsid w:val="0076777D"/>
    <w:rsid w:val="00770A81"/>
    <w:rsid w:val="00851B1F"/>
    <w:rsid w:val="00897A2E"/>
    <w:rsid w:val="00970578"/>
    <w:rsid w:val="00AB26CF"/>
    <w:rsid w:val="00B768B2"/>
    <w:rsid w:val="00C36F0B"/>
    <w:rsid w:val="00CD1985"/>
    <w:rsid w:val="00D43D70"/>
    <w:rsid w:val="00E36D7A"/>
    <w:rsid w:val="00E9480F"/>
    <w:rsid w:val="00F1151F"/>
    <w:rsid w:val="00FC2679"/>
    <w:rsid w:val="08BA7EDA"/>
    <w:rsid w:val="65A94A53"/>
    <w:rsid w:val="6CAB5065"/>
    <w:rsid w:val="6CBB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A2C7F7"/>
  <w14:defaultImageDpi w14:val="300"/>
  <w15:docId w15:val="{27CD21DC-5F1B-41E7-89EF-7752FA42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B3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6B3E7D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6B3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6B3E7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zhangxucai126.com</cp:lastModifiedBy>
  <cp:revision>23</cp:revision>
  <dcterms:created xsi:type="dcterms:W3CDTF">2014-10-29T14:08:00Z</dcterms:created>
  <dcterms:modified xsi:type="dcterms:W3CDTF">2018-05-24T11:30:00Z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