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《个人消费贷款管理法律风险防范》培训课纲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主讲老师：张绪才</w:t>
      </w:r>
    </w:p>
    <w:p>
      <w:pPr>
        <w:numPr>
          <w:ilvl w:val="0"/>
          <w:numId w:val="0"/>
        </w:numPr>
        <w:ind w:firstLine="904" w:firstLineChars="3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一、【课程背景】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当前消费信贷异军突起，如火如荼，成为银行业务增长的“推进剂”。但个人消费信贷也存在着很多的风险和问题，成为银行不良贷款的“陷阱”，还面临着严格的监管，如何做到合法合规，提升资产质量，是现实而又急迫的难题。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 二、【授课时长】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本课程课时为一天（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6课时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）。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三、【课程收益】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张绪才老师作为多年来从事金融领域法律实务的专业律师，通过办案实践及与金融、司法部门有关部门和人员调研交流，开发出本课程，对个人消费贷款业务领域主要的法律风险点，以案例的形式展现出来，并举一反三、融汇贯通，让业务人员增强风险意识，掌握法律实务知识和技能，提高业务能力和水平，最大限度地防范和控制信贷风险。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四、【授课对象】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商业银行、消费金融公司等金融机构中高级管理人员及消费金融从业人员。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五、【课程特色】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1、独特的专业优势：张绪才老师系资深专业金融律师，法律功底深厚、实践经验丰富，法律培训针对性、实操性强。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 xml:space="preserve"> 2、独特的讲课技能和风格：张绪才老师不讲理论讲案例、不讲术语讲白话，理论案例化、案例故事化、故事情节化、情节实战化，注重细节、绝招致胜；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六、【培训过的客户】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山东省德州市银行业协会、聊城市银行业协会、日照市银行业协会、甘肃临夏市银行业协会、宁夏石嘴山市银行业协会，安徽蚌埠市银行业协会，河南洛阳市银行业协会，兴业银行、中信银行、北京中行、天津、濮阳农业银行、定西工商银行、石家庄华夏银行、淮安邮储银行、青海银行、吉林银行、江西、河面和黑龙江邮储银行系统；山东、陕西、青海、吉林、甘肃、河南、江苏、广西、福建、四川、湖南、安徽、上海、广东、黑龙江、内蒙古、新疆等地的农商行或农村信用联社等200余家银行金融机构。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七、【课程大纲】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第一部分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个人消费贷款管理概述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一、个人消费贷款定义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二、个人消费贷款贷款对象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三、个人消费贷款申请前提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四、个人消费贷款的作用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五、当前个人消费贷款发展的现状</w:t>
      </w:r>
    </w:p>
    <w:p>
      <w:pPr>
        <w:numPr>
          <w:ilvl w:val="0"/>
          <w:numId w:val="0"/>
        </w:numPr>
        <w:ind w:firstLine="602" w:firstLineChars="200"/>
        <w:jc w:val="left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第二部分 个人消费贷款分类、特点及申请条件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一、个人住房贷款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二、个人综合消费贷款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（一）个人住房装修贷款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（二）个人耐用消费品贷款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（三）个人汽车消费贷款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（四）个人助学贷款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（五）个人旅游贷款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（六）个人质押贷款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（七）信用卡消费贷款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三、个人消费贷款禁止的用途：</w:t>
      </w:r>
    </w:p>
    <w:p>
      <w:pPr>
        <w:numPr>
          <w:ilvl w:val="0"/>
          <w:numId w:val="0"/>
        </w:numPr>
        <w:ind w:firstLine="602" w:firstLineChars="200"/>
        <w:jc w:val="left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第三部分  个人消费信贷法律风险防范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一、个人消费信贷风险种类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（一）信用风险 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（二）借款人偿债能力风险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（三）欺诈风险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（四）抵质押物（权证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）风险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（五）法律风险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（六）利率风险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（七）流动性风险等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二、个人消费信贷的风险形成原因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（一）贷款申请中出具的相关证明存在着失实性。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案例分析：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（二）缺乏完善的个人征信系统。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（三）与消费贷款相关的法律不健全。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三、防范个人消费贷款法律风险的措施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（一）逐步建立健全全社会范围的个人信用征信体系和相关制度；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（二）建立科学的个人信用评价体系；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（三）建立银行内部消费信贷的风险管理体系；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（四）进一步完善消费贷款的担保制度；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（五）实现消费贷款证券化，分散消费信贷风险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三、银行业监管机构监管内容及最新动态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（一）解读银监会办公厅《关于个人消费贷款领域风险提示的通知》（2013）261号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（二）2017年个人消费贷款最新监管动态和要求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案例分析：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注：以上内容为正课内容，在案例剖析中举一反三、融汇贯通，加入与之关联的法律知识和律师办案实践操作内容，内容可根据需求、时间和现场情况作适当调整。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1157" w:right="1349" w:bottom="1157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575E9"/>
    <w:rsid w:val="34B1473A"/>
    <w:rsid w:val="458F350B"/>
    <w:rsid w:val="4A347E79"/>
    <w:rsid w:val="5164018B"/>
    <w:rsid w:val="6C2F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zhangxucai</dc:creator>
  <cp:lastModifiedBy>zhangxucai</cp:lastModifiedBy>
  <dcterms:modified xsi:type="dcterms:W3CDTF">2017-10-14T20:22:06Z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