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8" w:lineRule="atLeast"/>
        <w:ind w:left="0" w:right="0" w:firstLine="0"/>
        <w:jc w:val="center"/>
        <w:rPr>
          <w:rFonts w:ascii="微软雅黑" w:hAnsi="微软雅黑" w:eastAsia="微软雅黑" w:cs="微软雅黑"/>
          <w:b/>
          <w:bCs/>
          <w:i w:val="0"/>
          <w:iCs w:val="0"/>
          <w:caps w:val="0"/>
          <w:color w:val="4D4D4D"/>
          <w:spacing w:val="0"/>
          <w:sz w:val="39"/>
          <w:szCs w:val="39"/>
        </w:rPr>
      </w:pPr>
      <w:r>
        <w:rPr>
          <w:rFonts w:hint="eastAsia" w:ascii="微软雅黑" w:hAnsi="微软雅黑" w:eastAsia="微软雅黑" w:cs="微软雅黑"/>
          <w:b/>
          <w:bCs/>
          <w:i w:val="0"/>
          <w:iCs w:val="0"/>
          <w:caps w:val="0"/>
          <w:color w:val="4D4D4D"/>
          <w:spacing w:val="0"/>
          <w:sz w:val="39"/>
          <w:szCs w:val="39"/>
          <w:bdr w:val="none" w:color="auto" w:sz="0" w:space="0"/>
          <w:shd w:val="clear" w:fill="FFFFFF"/>
        </w:rPr>
        <w:t>《新时代企业实现高质量发展之道》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ascii="微软雅黑" w:hAnsi="微软雅黑" w:eastAsia="微软雅黑" w:cs="微软雅黑"/>
          <w:b/>
          <w:bCs/>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课程背景：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当前，我国已经进入高质量发展时</w:t>
      </w:r>
      <w:bookmarkStart w:id="0" w:name="_GoBack"/>
      <w:bookmarkEnd w:id="0"/>
      <w:r>
        <w:rPr>
          <w:rFonts w:hint="eastAsia" w:ascii="微软雅黑" w:hAnsi="微软雅黑" w:eastAsia="微软雅黑" w:cs="微软雅黑"/>
          <w:i w:val="0"/>
          <w:iCs w:val="0"/>
          <w:caps w:val="0"/>
          <w:color w:val="333333"/>
          <w:spacing w:val="0"/>
          <w:sz w:val="22"/>
          <w:szCs w:val="22"/>
          <w:bdr w:val="none" w:color="auto" w:sz="0" w:space="0"/>
        </w:rPr>
        <w:t>期，处于加快形成以国内大循环为主体、国内国际双循环相互促进的新发展格局；当前和今后一个时期，我国发展仍然处于战略机遇期，但机遇和挑战都有新的发展变化。新发展格局下，高层领导如何提升格局和境界，准确把握大势，着眼于中华民族伟大复兴的战略全局和世界百年未有之大变局这“两个大局”，作出重大战略性部署，在危机中育新机、于变局中开新局，推动企业“十四五”乃至更长时期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在经济下行巨大的压力下，企业面临种种的问题，企业抗风险能力受到了巨大的挑战，提升企业“免疫力”我们企业管理是否抓到了根本？企业“强体质”的策略是否找准？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人口红利、流量红利正逐渐消失，企业面临获客成本的急剧提升，有什么新的红利把握呢？企业是否关注“心力资源”的管理，构建相关方命运共同体的格局？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今天，数字化的趋势在逼近，所有的行业都需要用数字技术加大研发，企业的应对策略又如何？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面对外部环境的机遇和挑战，以及众多的不确定性，我们企业的经营管理是否仍然存在“盲区”，企业经营质量是否率先实现了“高质量”？卓越绩效管理模式与时俱进的实施导入正为你实现突围和高质量可持续发展提供最有效的管理保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卓越绩效管理模式是众多成功企业管理最佳实践的凝集。卓越绩效管理模式是如何帮到企业实现成功管理？卓越绩效管理模式的内核有哪些？卓越绩效管理模式又是如何一一破解众多危机和难题？卓越绩效管理模式导入成功之道是什么？后疫情时代，企业基于卓越绩效管理模式的管理重点又有哪些方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卓越绩效管理模式将成为新时代下您实现企业成功的核武器！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课程目标：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1.体悟商业的本质；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2.了解和掌握产品价值塑造3+3+4模型的运用；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3.掌握从心智层读懂董事长、员工和顾客的方法，真正了解并满足顾客的需求；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4.了解顾客价值理论、高质量顾客性价比公式、心灵的五个层次；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5.掌握从质量层如何构建竞争对手难以逾越的硬优势；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6.了解和掌握卡诺模型、用户体验模型的运用方法；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7.掌握从品牌营销层如何直达人心，成为同品类顾客的首选的方法；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8.了解和掌握营销导图、企业品牌的温度打分表、品牌差异化价值塑造法的运用；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9.掌握引爆利润的“三大支点”；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10.掌握产品价值塑造落地四部曲。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课程时间：0.5天；1天；2天。具体可根据需求而定。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授课对象：企业中高层管理人员；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授课方式：讲解、课堂互动、案例、工具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课程特点：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Ø 中西结合，大道至简，直击核心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Ø 取经实战，超100家企业经验凝聚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Ø 系统实效，“理论-方法-工具-案例”四位一体，学而能悟，悟而能行，行而能获，追求达到好听好看好用。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课程大纲：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第一讲：卓越绩效管理模式概述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高质量发展时代下“卓越之路”的思考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1.什么是卓越？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2.卓越绩效准则与质量奖的发展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3.卓越绩效管理准则与质量管理体系的区别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4.卓越绩效管理模式的4大作用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5.卓越绩效评价准则4大内容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6.企业发展的四个阶段与“卓越”之悟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第二讲：卓越绩效管理模式7大模块主要内容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一、4.1领导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1）某通讯行业企业文化建设案例；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2）某家电行业企业质量安全案例；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3）某餐饮行业企业品牌管理案例；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4）某家居行业企业公益支持案例；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5）董事长的能量表及案例；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6）某美发小店董事长能量与企业管理案例。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二、4.2 战略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1）某乳业实施新产品开发战略的案例；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2）某国产奶粉的差异化竞争战略；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3）某电商平台的战略模型；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4）某家电公司的战略管理方案；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5）战略的能量及案例。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三、4.3 顾客与市场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1）某服务业公司的全生命周期的顾客关系管理；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2）某装修公司的顾客服务策略；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3）某知名饭店的顾客关系管理的特色服务；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4）某特色美发店的服务设计；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5）“产品价值塑造框架3+3+4模型”介绍及案例分享。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四、4.4 资源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4.4.2 人力资源         4.4.3 财务资源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4.4.4 信息和知识资源   4.4.5 技术资源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4.4.6 基础设施         4.4.7 相关方关系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1）某制造业的人力资源管理系统案例；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2）某制造业的课程体系案例；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3）某制造业企业的新员工入职管理案例；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4）某制造业企业的福利做法。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5）某公司知识管理模型与信息系统。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五、4.5 过程管理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1）某企业产品和过程设计原理图、过程清单及改进流程；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六、4.6 测量、分析与改进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1）某公司的绩效测量系统；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2）某服务业的关键绩效指标体系；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3）某制造业企业的改进创新案例。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七、4.7 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1、标准基本内容介绍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2、某些条款从中华传统文化的视角探享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3、该模块“从优秀到卓越之路”的思考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4、一般企业在该模块管理存在的主要问题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5、某些条款相应优秀企业最佳的案例分享：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第三讲：如何导入应用卓越绩效模式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一、卓越绩效模式导入的管理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1、企业卓越进程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2、导入卓越绩效模式四部曲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二、卓越绩效模式导入失败的“四只象”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1、只为申奖，不为提升；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2、高层高高挂起，只是发号施令；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3、只是质量部的事，与我何干？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4、只是浅试，成效甚微而止。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三、卓越绩效模式导入成功的“四要法则”：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1、最高领导者要真抓实干，体悟改善；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2、卓越绩效项目总监，要有基础，顾全局，敢担当；</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3、模式导入机制要实用，要“入心”；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4、要顺势而为，恒心恒力。</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四、成功导入卓越绩效管理模式的代表企业介绍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Style w:val="6"/>
          <w:rFonts w:hint="eastAsia" w:ascii="微软雅黑" w:hAnsi="微软雅黑" w:eastAsia="微软雅黑" w:cs="微软雅黑"/>
          <w:b/>
          <w:bCs/>
          <w:i w:val="0"/>
          <w:iCs w:val="0"/>
          <w:caps w:val="0"/>
          <w:color w:val="333333"/>
          <w:spacing w:val="0"/>
          <w:sz w:val="22"/>
          <w:szCs w:val="22"/>
          <w:bdr w:val="none" w:color="auto" w:sz="0" w:space="0"/>
        </w:rPr>
        <w:t>第四讲：后疫情时代，基于卓越绩效管理模式的管理重点思考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1、后疫情时代的两个思考：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1）外部危机来临时为什么有些企业会引起并发症？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2）外部危机来临时我们是否无作为？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2、后疫情时代高层领导管理幅度和深度应该提升的两大理念；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0"/>
        <w:jc w:val="left"/>
        <w:rPr>
          <w:rFonts w:hint="eastAsia" w:ascii="微软雅黑" w:hAnsi="微软雅黑" w:eastAsia="微软雅黑" w:cs="微软雅黑"/>
          <w:i w:val="0"/>
          <w:iCs w:val="0"/>
          <w:caps w:val="0"/>
          <w:color w:val="333333"/>
          <w:spacing w:val="0"/>
          <w:sz w:val="22"/>
          <w:szCs w:val="22"/>
        </w:rPr>
      </w:pPr>
      <w:r>
        <w:rPr>
          <w:rFonts w:hint="eastAsia" w:ascii="微软雅黑" w:hAnsi="微软雅黑" w:eastAsia="微软雅黑" w:cs="微软雅黑"/>
          <w:i w:val="0"/>
          <w:iCs w:val="0"/>
          <w:caps w:val="0"/>
          <w:color w:val="333333"/>
          <w:spacing w:val="0"/>
          <w:sz w:val="22"/>
          <w:szCs w:val="22"/>
          <w:bdr w:val="none" w:color="auto" w:sz="0" w:space="0"/>
        </w:rPr>
        <w:t>3、应对外部危机，企业管理应该强化的“三大导向”，以及应该强化或构建的“三大体系”。</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963F77"/>
    <w:rsid w:val="0B963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2021-10-22T07:10:00Z</dcterms:created>
  <dc:creator>蓉儿</dc:creator>
  <cp:lastModifiedBy>蓉儿</cp:lastModifiedBy>
  <dcterms:modified xsi:type="dcterms:W3CDTF">2021-10-22T07:11:13Z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D7E2E0869E7D4678AADBDACF6FBA8BC7</vt:lpwstr>
  </property>
</Properties>
</file>