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225" w:beforeAutospacing="0" w:after="225" w:afterAutospacing="0" w:line="360" w:lineRule="auto"/>
        <w:ind w:firstLine="480"/>
        <w:jc w:val="center"/>
        <w:textAlignment w:val="baseline"/>
        <w:rPr>
          <w:rFonts w:hint="default" w:ascii="微软雅黑" w:hAnsi="微软雅黑" w:eastAsia="微软雅黑"/>
          <w:b/>
          <w:color w:val="C00000"/>
          <w:spacing w:val="15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/>
          <w:b/>
          <w:color w:val="C00000"/>
          <w:spacing w:val="15"/>
          <w:sz w:val="44"/>
          <w:szCs w:val="44"/>
          <w:shd w:val="clear" w:color="auto" w:fill="FFFFFF"/>
          <w:lang w:val="en-US" w:eastAsia="zh-CN"/>
        </w:rPr>
        <w:t>数字化营销：营销战略创新与双重转型</w:t>
      </w:r>
    </w:p>
    <w:p>
      <w:pPr>
        <w:widowControl/>
        <w:shd w:val="clear" w:color="auto" w:fill="FFFFFF"/>
        <w:spacing w:after="113" w:line="360" w:lineRule="auto"/>
        <w:jc w:val="center"/>
        <w:rPr>
          <w:rFonts w:hint="eastAsia" w:ascii="微软雅黑" w:hAnsi="微软雅黑" w:eastAsia="微软雅黑" w:cs="微软雅黑"/>
          <w:b/>
          <w:bCs/>
          <w:color w:val="C00000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4"/>
          <w:szCs w:val="32"/>
          <w:lang w:val="en-US" w:eastAsia="zh-CN"/>
        </w:rPr>
        <w:t>——从步兵进攻，到空天协同，全域设计数字化时代的市场增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color w:val="C00000"/>
          <w:sz w:val="24"/>
          <w:szCs w:val="32"/>
          <w:lang w:val="en-US" w:eastAsia="zh-CN"/>
        </w:rPr>
        <w:t>量体系——</w:t>
      </w:r>
    </w:p>
    <w:p>
      <w:pPr>
        <w:widowControl/>
        <w:shd w:val="clear" w:color="auto" w:fill="FFFFFF"/>
        <w:spacing w:after="113"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/>
          <w:b/>
          <w:color w:val="000000" w:themeColor="text1"/>
          <w:spacing w:val="15"/>
          <w:sz w:val="28"/>
          <w:szCs w:val="28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主讲：王京刚 博士   </w:t>
      </w: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2"/>
          <w:szCs w:val="32"/>
          <w:shd w:val="clear" w:color="auto" w:fill="FFFFFF"/>
          <w:lang w:val="en-US" w:eastAsia="zh-CN" w:bidi="ar"/>
        </w:rPr>
        <w:t xml:space="preserve">  </w:t>
      </w:r>
    </w:p>
    <w:p>
      <w:pPr>
        <w:widowControl/>
        <w:shd w:val="clear" w:color="auto" w:fill="FFFFFF"/>
        <w:spacing w:after="113" w:line="360" w:lineRule="auto"/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22"/>
          <w:szCs w:val="22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2"/>
          <w:szCs w:val="22"/>
          <w:shd w:val="clear" w:color="auto" w:fill="FFFFFF"/>
          <w:lang w:val="en-US" w:eastAsia="zh-CN" w:bidi="ar"/>
        </w:rPr>
        <w:t>（大纲内容可调整）</w:t>
      </w:r>
    </w:p>
    <w:p>
      <w:pPr>
        <w:spacing w:line="360" w:lineRule="auto"/>
        <w:rPr>
          <w:rFonts w:hint="default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第一节 企业数字化转型的核心在于战略的双重转型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外部的趋势是什么？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如何转型？——重新做一次战略定位</w:t>
      </w:r>
    </w:p>
    <w:p>
      <w:pPr>
        <w:pStyle w:val="2"/>
        <w:widowControl/>
        <w:snapToGrid w:val="0"/>
        <w:spacing w:beforeAutospacing="0" w:afterAutospacing="0" w:line="288" w:lineRule="auto"/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如何抓住战略机遇？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何升级？——洞察增长机会与调整商业模式</w:t>
      </w:r>
    </w:p>
    <w:p>
      <w:pPr>
        <w:numPr>
          <w:ilvl w:val="0"/>
          <w:numId w:val="1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增量机会究竟来自哪里？——围绕“钱”的五种新型商业模式</w:t>
      </w:r>
    </w:p>
    <w:p>
      <w:pPr>
        <w:numPr>
          <w:ilvl w:val="0"/>
          <w:numId w:val="1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洞察行业政策及技术等变化，发现行业价值转移趋势及对自己的影响</w:t>
      </w:r>
    </w:p>
    <w:p>
      <w:pPr>
        <w:numPr>
          <w:ilvl w:val="0"/>
          <w:numId w:val="1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洞察客户群及需求的变化，领先对手发现新需求</w:t>
      </w:r>
    </w:p>
    <w:p>
      <w:pPr>
        <w:numPr>
          <w:ilvl w:val="0"/>
          <w:numId w:val="1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洞察对手的过去、现在及未来规划，知彼知己</w:t>
      </w:r>
    </w:p>
    <w:p>
      <w:pPr>
        <w:numPr>
          <w:ilvl w:val="0"/>
          <w:numId w:val="1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保护企业盈利能力：为企业创造机会管理体系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三、经济低迷期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如何盈利？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从红海与蓝海中，发现黑海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重新构建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增量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策略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贸易差价和撮合服务收入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交易所常规收入（会员、交易点、期货</w:t>
      </w: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供应链增值服务和增值撮合点费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金融收入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共享工厂和共享仓库的订单收益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产权转移的物资的金融化属性和产品收益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平台化的会员增值收入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软件及技术服务收入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政府合作平台的管理收入和产业园经济收入</w:t>
      </w:r>
    </w:p>
    <w:p>
      <w:pPr>
        <w:numPr>
          <w:ilvl w:val="0"/>
          <w:numId w:val="2"/>
        </w:numPr>
        <w:spacing w:line="360" w:lineRule="auto"/>
        <w:ind w:left="845" w:leftChars="0" w:hanging="425" w:firstLineChars="0"/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科技创新和研究院经济收入及标准化咨询和服务收入</w:t>
      </w:r>
    </w:p>
    <w:p>
      <w:pPr>
        <w:numPr>
          <w:ilvl w:val="0"/>
          <w:numId w:val="3"/>
        </w:numPr>
        <w:spacing w:line="360" w:lineRule="auto"/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从哪里起步？营销创新——重新做一次市场策略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挖掘自己身潜能-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以客户为中心及数据分析</w:t>
      </w:r>
    </w:p>
    <w:p>
      <w:pPr>
        <w:numPr>
          <w:ilvl w:val="0"/>
          <w:numId w:val="4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衡量B/C/G端客户终身价值(CLV)</w:t>
      </w:r>
    </w:p>
    <w:p>
      <w:pPr>
        <w:numPr>
          <w:ilvl w:val="0"/>
          <w:numId w:val="4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数字化经济下的市场细分和客户定位</w:t>
      </w:r>
    </w:p>
    <w:p>
      <w:pPr>
        <w:numPr>
          <w:ilvl w:val="0"/>
          <w:numId w:val="4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衡量消费者偏好，明确用户的需求决定产品的内容</w:t>
      </w:r>
    </w:p>
    <w:p>
      <w:pPr>
        <w:numPr>
          <w:ilvl w:val="0"/>
          <w:numId w:val="4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数据驱动营销决策互动营销与客户关系管理</w:t>
      </w:r>
    </w:p>
    <w:p>
      <w:pPr>
        <w:numPr>
          <w:ilvl w:val="0"/>
          <w:numId w:val="4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建立社群营销的商业概念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如何让客户接受“新的你”？-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客户体验战略与客户体验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体验设计与需求管理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打造卓越的客户体验实现业务差异化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验证和</w:t>
      </w: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衡量客户体验设计的影响</w:t>
      </w:r>
    </w:p>
    <w:p>
      <w:pPr>
        <w:numPr>
          <w:ilvl w:val="0"/>
          <w:numId w:val="5"/>
        </w:numPr>
        <w:spacing w:line="360" w:lineRule="auto"/>
        <w:ind w:left="845" w:leftChars="0" w:hanging="425" w:firstLineChars="0"/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潜在客户开发和潜在客户培育的数字化方法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第三节 具体落地路径—全数字化的增模式创新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一、利润为何能增加：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基于不同客户的利润增长策略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二、产品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何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多卖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钱：产品金字塔模式设计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三、竞争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何能取胜：管理价值链模式设计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四、资源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如何做组合：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配电盘模式设计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超前如何不牺牲：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领先两步的模式设计 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、业绩如何变指数：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利润乘数模式设计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能力如何能扩展：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分拆型模式设计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八、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定位如何变高端：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全球专家网络模式设计 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九、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竞争如何能借势：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行业标准模式设计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第四节 如何打造新品牌，增加自己的势能——全数字化媒体传播战略</w:t>
      </w:r>
    </w:p>
    <w:p>
      <w:pPr>
        <w:numPr>
          <w:ilvl w:val="0"/>
          <w:numId w:val="0"/>
        </w:numPr>
        <w:spacing w:line="360" w:lineRule="auto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一、创意内容营销管理与整合传播的策略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B2B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社交媒体营销策略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三、B2B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数字营销技术与平台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B2B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体验渠道与营销交互管理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B2B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裂变渠道与生态圈打造</w:t>
      </w:r>
    </w:p>
    <w:p>
      <w:pPr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第五节 全数字营销与销售团队管理策略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一、建立销售团队与品牌的一致性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二、销售团队与市场营销的一致性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结束</w:t>
      </w:r>
      <w:r>
        <w:rPr>
          <w:rFonts w:hint="eastAsia"/>
          <w:lang w:eastAsia="zh-CN"/>
        </w:rPr>
        <w:t>）</w:t>
      </w:r>
    </w:p>
    <w:sectPr>
      <w:pgSz w:w="11906" w:h="16838"/>
      <w:pgMar w:top="1213" w:right="1519" w:bottom="1213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BDF003"/>
    <w:multiLevelType w:val="singleLevel"/>
    <w:tmpl w:val="40BDF003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5399BEC0"/>
    <w:multiLevelType w:val="singleLevel"/>
    <w:tmpl w:val="5399BEC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>
    <w:nsid w:val="5BE5B9EB"/>
    <w:multiLevelType w:val="singleLevel"/>
    <w:tmpl w:val="5BE5B9EB"/>
    <w:lvl w:ilvl="0" w:tentative="0">
      <w:start w:val="2"/>
      <w:numFmt w:val="chineseCounting"/>
      <w:suff w:val="space"/>
      <w:lvlText w:val="第%1节"/>
      <w:lvlJc w:val="left"/>
      <w:rPr>
        <w:rFonts w:hint="eastAsia"/>
      </w:rPr>
    </w:lvl>
  </w:abstractNum>
  <w:abstractNum w:abstractNumId="3">
    <w:nsid w:val="5CD345DA"/>
    <w:multiLevelType w:val="singleLevel"/>
    <w:tmpl w:val="5CD345DA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6593E888"/>
    <w:multiLevelType w:val="singleLevel"/>
    <w:tmpl w:val="6593E888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YjI2ZmVjYzM1MDQ2NDM5NDI4ZmQ2ZGU0YWFmOTIifQ=="/>
  </w:docVars>
  <w:rsids>
    <w:rsidRoot w:val="5DE709EB"/>
    <w:rsid w:val="1A606D71"/>
    <w:rsid w:val="1EFB1CDA"/>
    <w:rsid w:val="4A34225B"/>
    <w:rsid w:val="5DE709EB"/>
    <w:rsid w:val="7C6B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976</Words>
  <Characters>992</Characters>
  <Lines>0</Lines>
  <Paragraphs>0</Paragraphs>
  <TotalTime>3</TotalTime>
  <ScaleCrop>false</ScaleCrop>
  <LinksUpToDate>false</LinksUpToDate>
  <CharactersWithSpaces>1009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2023-08-10T11:17:00Z</dcterms:created>
  <dc:creator>王京刚</dc:creator>
  <cp:lastModifiedBy>王京刚</cp:lastModifiedBy>
  <dcterms:modified xsi:type="dcterms:W3CDTF">2023-08-10T12:48:33Z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5529DD17A3084E488B1A49C2313D3D60_13</vt:lpwstr>
  </property>
</Properties>
</file>