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7712F" w14:textId="3F4F8425" w:rsidR="00A67855" w:rsidRDefault="00512368">
      <w:pPr>
        <w:jc w:val="center"/>
        <w:rPr>
          <w:rFonts w:ascii="微软雅黑" w:eastAsia="微软雅黑" w:hAnsi="微软雅黑"/>
          <w:b/>
          <w:sz w:val="36"/>
        </w:rPr>
      </w:pPr>
      <w:r>
        <w:rPr>
          <w:rFonts w:ascii="微软雅黑" w:eastAsia="微软雅黑" w:hAnsi="微软雅黑" w:hint="eastAsia"/>
          <w:b/>
          <w:sz w:val="36"/>
        </w:rPr>
        <w:t>BLM战略执行</w:t>
      </w:r>
      <w:proofErr w:type="gramStart"/>
      <w:r>
        <w:rPr>
          <w:rFonts w:ascii="微软雅黑" w:eastAsia="微软雅黑" w:hAnsi="微软雅黑" w:hint="eastAsia"/>
          <w:b/>
          <w:sz w:val="36"/>
        </w:rPr>
        <w:t>力训战营</w:t>
      </w:r>
      <w:proofErr w:type="gramEnd"/>
      <w:r w:rsidR="0067006C">
        <w:rPr>
          <w:rFonts w:ascii="微软雅黑" w:eastAsia="微软雅黑" w:hAnsi="微软雅黑" w:hint="eastAsia"/>
          <w:b/>
          <w:sz w:val="36"/>
        </w:rPr>
        <w:t>——市场洞察</w:t>
      </w:r>
    </w:p>
    <w:p w14:paraId="722DEE8A" w14:textId="77777777" w:rsidR="00A67855" w:rsidRDefault="00512368">
      <w:pPr>
        <w:jc w:val="center"/>
        <w:rPr>
          <w:sz w:val="20"/>
        </w:rPr>
      </w:pPr>
      <w:r>
        <w:rPr>
          <w:rFonts w:ascii="微软雅黑" w:eastAsia="微软雅黑" w:hAnsi="微软雅黑" w:cs="微软雅黑" w:hint="eastAsia"/>
          <w:b/>
          <w:bCs/>
          <w:sz w:val="24"/>
          <w:szCs w:val="28"/>
        </w:rPr>
        <w:t xml:space="preserve"> </w:t>
      </w:r>
      <w:r>
        <w:rPr>
          <w:rFonts w:ascii="微软雅黑" w:eastAsia="微软雅黑" w:hAnsi="微软雅黑" w:cs="微软雅黑"/>
          <w:b/>
          <w:bCs/>
          <w:sz w:val="24"/>
          <w:szCs w:val="28"/>
        </w:rPr>
        <w:t xml:space="preserve">                    </w:t>
      </w:r>
    </w:p>
    <w:p w14:paraId="6725157F" w14:textId="77777777" w:rsidR="00A67855" w:rsidRDefault="00512368">
      <w:pPr>
        <w:pStyle w:val="ab"/>
        <w:numPr>
          <w:ilvl w:val="0"/>
          <w:numId w:val="1"/>
        </w:numPr>
        <w:ind w:firstLineChars="0"/>
        <w:jc w:val="left"/>
        <w:rPr>
          <w:rFonts w:ascii="微软雅黑" w:eastAsia="微软雅黑" w:hAnsi="微软雅黑"/>
          <w:b/>
          <w:bCs/>
          <w:sz w:val="24"/>
          <w:szCs w:val="28"/>
        </w:rPr>
      </w:pPr>
      <w:r>
        <w:rPr>
          <w:rFonts w:ascii="微软雅黑" w:eastAsia="微软雅黑" w:hAnsi="微软雅黑" w:hint="eastAsia"/>
          <w:b/>
          <w:bCs/>
          <w:sz w:val="24"/>
          <w:szCs w:val="28"/>
        </w:rPr>
        <w:t>项目背景</w:t>
      </w:r>
    </w:p>
    <w:p w14:paraId="14B6A299" w14:textId="77777777" w:rsidR="00A67855" w:rsidRDefault="00512368">
      <w:pPr>
        <w:snapToGrid w:val="0"/>
        <w:spacing w:line="276" w:lineRule="auto"/>
        <w:ind w:firstLine="420"/>
        <w:rPr>
          <w:rFonts w:ascii="微软雅黑" w:eastAsia="微软雅黑" w:hAnsi="微软雅黑"/>
          <w:sz w:val="24"/>
        </w:rPr>
      </w:pPr>
      <w:r>
        <w:rPr>
          <w:rFonts w:ascii="微软雅黑" w:eastAsia="微软雅黑" w:hAnsi="微软雅黑" w:hint="eastAsia"/>
          <w:sz w:val="24"/>
        </w:rPr>
        <w:t>华为公司2</w:t>
      </w:r>
      <w:r>
        <w:rPr>
          <w:rFonts w:ascii="微软雅黑" w:eastAsia="微软雅黑" w:hAnsi="微软雅黑"/>
          <w:sz w:val="24"/>
        </w:rPr>
        <w:t>006年引入</w:t>
      </w:r>
      <w:r>
        <w:rPr>
          <w:rFonts w:ascii="微软雅黑" w:eastAsia="微软雅黑" w:hAnsi="微软雅黑" w:hint="eastAsia"/>
          <w:sz w:val="24"/>
        </w:rPr>
        <w:t>BLM作为战略制定工具，帮助管理层在企业战略制定与执行的过程中进行系统的思考分析及执行跟踪，帮助华为在手机、5</w:t>
      </w:r>
      <w:r>
        <w:rPr>
          <w:rFonts w:ascii="微软雅黑" w:eastAsia="微软雅黑" w:hAnsi="微软雅黑"/>
          <w:sz w:val="24"/>
        </w:rPr>
        <w:t>G</w:t>
      </w:r>
      <w:r>
        <w:rPr>
          <w:rFonts w:ascii="微软雅黑" w:eastAsia="微软雅黑" w:hAnsi="微软雅黑" w:hint="eastAsia"/>
          <w:sz w:val="24"/>
        </w:rPr>
        <w:t>、汽车整体解决方案</w:t>
      </w:r>
      <w:r>
        <w:rPr>
          <w:rFonts w:ascii="微软雅黑" w:eastAsia="微软雅黑" w:hAnsi="微软雅黑"/>
          <w:sz w:val="24"/>
        </w:rPr>
        <w:t>等领域大获成功</w:t>
      </w:r>
      <w:r>
        <w:rPr>
          <w:rFonts w:ascii="微软雅黑" w:eastAsia="微软雅黑" w:hAnsi="微软雅黑" w:hint="eastAsia"/>
          <w:sz w:val="24"/>
        </w:rPr>
        <w:t>。华为对于战略规划的基本要求是：</w:t>
      </w:r>
    </w:p>
    <w:p w14:paraId="3D888BEB" w14:textId="77777777" w:rsidR="00A67855" w:rsidRDefault="00512368">
      <w:pPr>
        <w:pStyle w:val="ab"/>
        <w:numPr>
          <w:ilvl w:val="0"/>
          <w:numId w:val="2"/>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思想一致，上下同欲，共识同频</w:t>
      </w:r>
    </w:p>
    <w:p w14:paraId="3A6C8306" w14:textId="77777777" w:rsidR="00A67855" w:rsidRDefault="00512368">
      <w:pPr>
        <w:pStyle w:val="ab"/>
        <w:numPr>
          <w:ilvl w:val="0"/>
          <w:numId w:val="2"/>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目标一致，压力传递，力出</w:t>
      </w:r>
      <w:proofErr w:type="gramStart"/>
      <w:r>
        <w:rPr>
          <w:rFonts w:ascii="微软雅黑" w:eastAsia="微软雅黑" w:hAnsi="微软雅黑" w:hint="eastAsia"/>
          <w:sz w:val="24"/>
        </w:rPr>
        <w:t>一</w:t>
      </w:r>
      <w:proofErr w:type="gramEnd"/>
      <w:r>
        <w:rPr>
          <w:rFonts w:ascii="微软雅黑" w:eastAsia="微软雅黑" w:hAnsi="微软雅黑" w:hint="eastAsia"/>
          <w:sz w:val="24"/>
        </w:rPr>
        <w:t>孔</w:t>
      </w:r>
    </w:p>
    <w:p w14:paraId="6FEB500C" w14:textId="77777777" w:rsidR="00A67855" w:rsidRDefault="00512368">
      <w:pPr>
        <w:pStyle w:val="ab"/>
        <w:numPr>
          <w:ilvl w:val="0"/>
          <w:numId w:val="2"/>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行动一致，清晰任务，高效执行</w:t>
      </w:r>
    </w:p>
    <w:p w14:paraId="316AD884" w14:textId="77777777" w:rsidR="00A67855" w:rsidRDefault="00512368">
      <w:pPr>
        <w:rPr>
          <w:rFonts w:ascii="微软雅黑" w:eastAsia="微软雅黑" w:hAnsi="微软雅黑"/>
          <w:sz w:val="24"/>
        </w:rPr>
      </w:pPr>
      <w:r>
        <w:rPr>
          <w:rFonts w:ascii="微软雅黑" w:eastAsia="微软雅黑" w:hAnsi="微软雅黑"/>
          <w:sz w:val="24"/>
        </w:rPr>
        <w:t>很多中小民营企业</w:t>
      </w:r>
      <w:r>
        <w:rPr>
          <w:rFonts w:ascii="微软雅黑" w:eastAsia="微软雅黑" w:hAnsi="微软雅黑" w:hint="eastAsia"/>
          <w:sz w:val="24"/>
        </w:rPr>
        <w:t>，在制定战略规划与解码落地执行过程经常遇到以下管理难题：</w:t>
      </w:r>
    </w:p>
    <w:p w14:paraId="6B01190A" w14:textId="77777777" w:rsidR="00A67855" w:rsidRDefault="00512368">
      <w:pPr>
        <w:pStyle w:val="ab"/>
        <w:numPr>
          <w:ilvl w:val="0"/>
          <w:numId w:val="3"/>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难共识：老板认为可以做，</w:t>
      </w:r>
      <w:proofErr w:type="gramStart"/>
      <w:r>
        <w:rPr>
          <w:rFonts w:ascii="微软雅黑" w:eastAsia="微软雅黑" w:hAnsi="微软雅黑" w:hint="eastAsia"/>
          <w:sz w:val="24"/>
        </w:rPr>
        <w:t>中层能力</w:t>
      </w:r>
      <w:proofErr w:type="gramEnd"/>
      <w:r>
        <w:rPr>
          <w:rFonts w:ascii="微软雅黑" w:eastAsia="微软雅黑" w:hAnsi="微软雅黑" w:hint="eastAsia"/>
          <w:sz w:val="24"/>
        </w:rPr>
        <w:t>有限，中层认为老板在做梦</w:t>
      </w:r>
    </w:p>
    <w:p w14:paraId="242A93B7" w14:textId="77777777" w:rsidR="00A67855" w:rsidRDefault="00512368">
      <w:pPr>
        <w:pStyle w:val="ab"/>
        <w:numPr>
          <w:ilvl w:val="0"/>
          <w:numId w:val="3"/>
        </w:numPr>
        <w:snapToGrid w:val="0"/>
        <w:spacing w:line="276" w:lineRule="auto"/>
        <w:ind w:firstLineChars="0"/>
        <w:rPr>
          <w:rFonts w:ascii="微软雅黑" w:eastAsia="微软雅黑" w:hAnsi="微软雅黑"/>
          <w:sz w:val="24"/>
        </w:rPr>
      </w:pPr>
      <w:r>
        <w:rPr>
          <w:rFonts w:ascii="微软雅黑" w:eastAsia="微软雅黑" w:hAnsi="微软雅黑"/>
          <w:sz w:val="24"/>
        </w:rPr>
        <w:t>取舍难</w:t>
      </w:r>
      <w:r>
        <w:rPr>
          <w:rFonts w:ascii="微软雅黑" w:eastAsia="微软雅黑" w:hAnsi="微软雅黑" w:hint="eastAsia"/>
          <w:sz w:val="24"/>
        </w:rPr>
        <w:t>：</w:t>
      </w:r>
      <w:r>
        <w:rPr>
          <w:rFonts w:ascii="微软雅黑" w:eastAsia="微软雅黑" w:hAnsi="微软雅黑"/>
          <w:sz w:val="24"/>
        </w:rPr>
        <w:t>感觉处处是机会</w:t>
      </w:r>
      <w:r>
        <w:rPr>
          <w:rFonts w:ascii="微软雅黑" w:eastAsia="微软雅黑" w:hAnsi="微软雅黑" w:hint="eastAsia"/>
          <w:sz w:val="24"/>
        </w:rPr>
        <w:t>，</w:t>
      </w:r>
      <w:r>
        <w:rPr>
          <w:rFonts w:ascii="微软雅黑" w:eastAsia="微软雅黑" w:hAnsi="微软雅黑"/>
          <w:sz w:val="24"/>
        </w:rPr>
        <w:t>什么样的客户都</w:t>
      </w:r>
      <w:r>
        <w:rPr>
          <w:rFonts w:ascii="微软雅黑" w:eastAsia="微软雅黑" w:hAnsi="微软雅黑" w:hint="eastAsia"/>
          <w:sz w:val="24"/>
        </w:rPr>
        <w:t>能</w:t>
      </w:r>
      <w:r>
        <w:rPr>
          <w:rFonts w:ascii="微软雅黑" w:eastAsia="微软雅黑" w:hAnsi="微软雅黑"/>
          <w:sz w:val="24"/>
        </w:rPr>
        <w:t>拿下</w:t>
      </w:r>
      <w:r>
        <w:rPr>
          <w:rFonts w:ascii="微软雅黑" w:eastAsia="微软雅黑" w:hAnsi="微软雅黑" w:hint="eastAsia"/>
          <w:sz w:val="24"/>
        </w:rPr>
        <w:t>，</w:t>
      </w:r>
      <w:r>
        <w:rPr>
          <w:rFonts w:ascii="微软雅黑" w:eastAsia="微软雅黑" w:hAnsi="微软雅黑"/>
          <w:sz w:val="24"/>
        </w:rPr>
        <w:t>却事与愿违</w:t>
      </w:r>
    </w:p>
    <w:p w14:paraId="1071895B" w14:textId="77777777" w:rsidR="00A67855" w:rsidRDefault="00512368">
      <w:pPr>
        <w:pStyle w:val="ab"/>
        <w:numPr>
          <w:ilvl w:val="0"/>
          <w:numId w:val="3"/>
        </w:numPr>
        <w:snapToGrid w:val="0"/>
        <w:spacing w:line="276" w:lineRule="auto"/>
        <w:ind w:firstLineChars="0"/>
        <w:rPr>
          <w:rFonts w:ascii="微软雅黑" w:eastAsia="微软雅黑" w:hAnsi="微软雅黑"/>
          <w:sz w:val="24"/>
        </w:rPr>
      </w:pPr>
      <w:r>
        <w:rPr>
          <w:rFonts w:ascii="微软雅黑" w:eastAsia="微软雅黑" w:hAnsi="微软雅黑"/>
          <w:sz w:val="24"/>
        </w:rPr>
        <w:t>难落地</w:t>
      </w:r>
      <w:r>
        <w:rPr>
          <w:rFonts w:ascii="微软雅黑" w:eastAsia="微软雅黑" w:hAnsi="微软雅黑" w:hint="eastAsia"/>
          <w:sz w:val="24"/>
        </w:rPr>
        <w:t>：市场机会好，</w:t>
      </w:r>
      <w:proofErr w:type="gramStart"/>
      <w:r>
        <w:rPr>
          <w:rFonts w:ascii="微软雅黑" w:eastAsia="微软雅黑" w:hAnsi="微软雅黑" w:hint="eastAsia"/>
          <w:sz w:val="24"/>
        </w:rPr>
        <w:t>缺机会</w:t>
      </w:r>
      <w:proofErr w:type="gramEnd"/>
      <w:r>
        <w:rPr>
          <w:rFonts w:ascii="微软雅黑" w:eastAsia="微软雅黑" w:hAnsi="微软雅黑" w:hint="eastAsia"/>
          <w:sz w:val="24"/>
        </w:rPr>
        <w:t>到执行的系统思考，</w:t>
      </w:r>
      <w:r>
        <w:rPr>
          <w:rFonts w:ascii="微软雅黑" w:eastAsia="微软雅黑" w:hAnsi="微软雅黑"/>
          <w:sz w:val="24"/>
        </w:rPr>
        <w:t>难以把握机会</w:t>
      </w:r>
    </w:p>
    <w:p w14:paraId="6EAF3289" w14:textId="77777777" w:rsidR="00A67855" w:rsidRDefault="00512368">
      <w:pPr>
        <w:pStyle w:val="ab"/>
        <w:numPr>
          <w:ilvl w:val="0"/>
          <w:numId w:val="3"/>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两张皮：规划与经营、经营及考核两张皮，该怎么干还是怎么干</w:t>
      </w:r>
    </w:p>
    <w:p w14:paraId="5232A0BD" w14:textId="77777777" w:rsidR="00A67855" w:rsidRDefault="00A67855">
      <w:pPr>
        <w:snapToGrid w:val="0"/>
        <w:spacing w:line="276" w:lineRule="auto"/>
        <w:rPr>
          <w:b/>
          <w:bCs/>
        </w:rPr>
      </w:pPr>
    </w:p>
    <w:p w14:paraId="7B4D4CF2" w14:textId="77777777" w:rsidR="00A67855" w:rsidRDefault="00512368">
      <w:pPr>
        <w:pStyle w:val="ab"/>
        <w:numPr>
          <w:ilvl w:val="0"/>
          <w:numId w:val="4"/>
        </w:numPr>
        <w:snapToGrid w:val="0"/>
        <w:spacing w:line="276" w:lineRule="auto"/>
        <w:ind w:leftChars="100" w:firstLineChars="0"/>
        <w:rPr>
          <w:rFonts w:ascii="微软雅黑" w:eastAsia="微软雅黑" w:hAnsi="微软雅黑"/>
          <w:b/>
          <w:bCs/>
          <w:sz w:val="24"/>
        </w:rPr>
      </w:pPr>
      <w:proofErr w:type="gramStart"/>
      <w:r>
        <w:rPr>
          <w:rFonts w:ascii="微软雅黑" w:eastAsia="微软雅黑" w:hAnsi="微软雅黑" w:hint="eastAsia"/>
          <w:b/>
          <w:bCs/>
          <w:sz w:val="24"/>
        </w:rPr>
        <w:t>训战营</w:t>
      </w:r>
      <w:proofErr w:type="gramEnd"/>
      <w:r>
        <w:rPr>
          <w:rFonts w:ascii="微软雅黑" w:eastAsia="微软雅黑" w:hAnsi="微软雅黑" w:hint="eastAsia"/>
          <w:b/>
          <w:bCs/>
          <w:sz w:val="24"/>
        </w:rPr>
        <w:t>V</w:t>
      </w:r>
      <w:r>
        <w:rPr>
          <w:rFonts w:ascii="微软雅黑" w:eastAsia="微软雅黑" w:hAnsi="微软雅黑"/>
          <w:b/>
          <w:bCs/>
          <w:sz w:val="24"/>
        </w:rPr>
        <w:t>S</w:t>
      </w:r>
      <w:r>
        <w:rPr>
          <w:rFonts w:ascii="微软雅黑" w:eastAsia="微软雅黑" w:hAnsi="微软雅黑" w:hint="eastAsia"/>
          <w:b/>
          <w:bCs/>
          <w:sz w:val="24"/>
        </w:rPr>
        <w:t>传统战略规划课程</w:t>
      </w:r>
    </w:p>
    <w:p w14:paraId="5F8DDB65" w14:textId="77777777" w:rsidR="00A67855" w:rsidRDefault="00512368">
      <w:pPr>
        <w:pStyle w:val="ab"/>
        <w:snapToGrid w:val="0"/>
        <w:spacing w:line="276" w:lineRule="auto"/>
        <w:ind w:leftChars="100" w:left="210" w:firstLineChars="0" w:firstLine="0"/>
        <w:rPr>
          <w:rFonts w:ascii="微软雅黑" w:eastAsia="微软雅黑" w:hAnsi="微软雅黑"/>
          <w:sz w:val="24"/>
        </w:rPr>
      </w:pPr>
      <w:proofErr w:type="gramStart"/>
      <w:r>
        <w:rPr>
          <w:rFonts w:ascii="微软雅黑" w:eastAsia="微软雅黑" w:hAnsi="微软雅黑" w:hint="eastAsia"/>
          <w:sz w:val="24"/>
        </w:rPr>
        <w:t>训战营</w:t>
      </w:r>
      <w:proofErr w:type="gramEnd"/>
    </w:p>
    <w:p w14:paraId="602698B7" w14:textId="77777777" w:rsidR="00A67855" w:rsidRDefault="00512368">
      <w:pPr>
        <w:pStyle w:val="ab"/>
        <w:numPr>
          <w:ilvl w:val="0"/>
          <w:numId w:val="5"/>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企业组织共建共创，上下达成共识</w:t>
      </w:r>
    </w:p>
    <w:p w14:paraId="43BD9B51" w14:textId="77777777" w:rsidR="00A67855" w:rsidRDefault="00512368">
      <w:pPr>
        <w:pStyle w:val="ab"/>
        <w:numPr>
          <w:ilvl w:val="0"/>
          <w:numId w:val="5"/>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统一方法、统一语言、统一思想、清晰描述和衡量战略</w:t>
      </w:r>
    </w:p>
    <w:p w14:paraId="5BFC4F69" w14:textId="77777777" w:rsidR="00A67855" w:rsidRDefault="00512368">
      <w:pPr>
        <w:pStyle w:val="ab"/>
        <w:numPr>
          <w:ilvl w:val="0"/>
          <w:numId w:val="5"/>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实施有保障，构建一套体系化的从战略规划到执行的解决方案</w:t>
      </w:r>
    </w:p>
    <w:p w14:paraId="797F58F1" w14:textId="77777777" w:rsidR="00A67855" w:rsidRDefault="00A67855">
      <w:pPr>
        <w:pStyle w:val="ab"/>
        <w:snapToGrid w:val="0"/>
        <w:spacing w:line="276" w:lineRule="auto"/>
        <w:ind w:leftChars="200" w:left="420" w:firstLineChars="0" w:firstLine="0"/>
        <w:rPr>
          <w:rFonts w:ascii="微软雅黑" w:eastAsia="微软雅黑" w:hAnsi="微软雅黑"/>
          <w:sz w:val="24"/>
        </w:rPr>
      </w:pPr>
    </w:p>
    <w:p w14:paraId="258401AD" w14:textId="77777777" w:rsidR="00A67855" w:rsidRDefault="00512368">
      <w:pPr>
        <w:pStyle w:val="ab"/>
        <w:snapToGrid w:val="0"/>
        <w:spacing w:line="276" w:lineRule="auto"/>
        <w:ind w:leftChars="100" w:left="210" w:firstLineChars="0" w:firstLine="0"/>
        <w:rPr>
          <w:rFonts w:ascii="微软雅黑" w:eastAsia="微软雅黑" w:hAnsi="微软雅黑"/>
          <w:sz w:val="24"/>
        </w:rPr>
      </w:pPr>
      <w:r>
        <w:rPr>
          <w:rFonts w:ascii="微软雅黑" w:eastAsia="微软雅黑" w:hAnsi="微软雅黑" w:hint="eastAsia"/>
          <w:sz w:val="24"/>
        </w:rPr>
        <w:t>传统战略规划课程</w:t>
      </w:r>
    </w:p>
    <w:p w14:paraId="54410185" w14:textId="77777777" w:rsidR="00A67855" w:rsidRDefault="00512368">
      <w:pPr>
        <w:pStyle w:val="ab"/>
        <w:numPr>
          <w:ilvl w:val="0"/>
          <w:numId w:val="6"/>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没有规划组织、业务部门未与各部门碰撞与共建</w:t>
      </w:r>
    </w:p>
    <w:p w14:paraId="5CE42395" w14:textId="77777777" w:rsidR="00A67855" w:rsidRDefault="00512368">
      <w:pPr>
        <w:pStyle w:val="ab"/>
        <w:numPr>
          <w:ilvl w:val="0"/>
          <w:numId w:val="6"/>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缺乏统一的战略思想、语言、流程、方法论及工具</w:t>
      </w:r>
    </w:p>
    <w:p w14:paraId="3735E3EB" w14:textId="77777777" w:rsidR="00A67855" w:rsidRDefault="00512368">
      <w:pPr>
        <w:pStyle w:val="ab"/>
        <w:numPr>
          <w:ilvl w:val="0"/>
          <w:numId w:val="6"/>
        </w:numPr>
        <w:snapToGrid w:val="0"/>
        <w:spacing w:line="276" w:lineRule="auto"/>
        <w:ind w:leftChars="200" w:left="840" w:firstLineChars="0"/>
        <w:rPr>
          <w:rFonts w:ascii="微软雅黑" w:eastAsia="微软雅黑" w:hAnsi="微软雅黑"/>
          <w:sz w:val="24"/>
        </w:rPr>
      </w:pPr>
      <w:r>
        <w:rPr>
          <w:rFonts w:ascii="微软雅黑" w:eastAsia="微软雅黑" w:hAnsi="微软雅黑" w:hint="eastAsia"/>
          <w:sz w:val="24"/>
        </w:rPr>
        <w:t>战略规划锁在保险柜，一年看一次</w:t>
      </w:r>
    </w:p>
    <w:p w14:paraId="29759194" w14:textId="77777777" w:rsidR="00A67855" w:rsidRDefault="00A67855">
      <w:pPr>
        <w:jc w:val="left"/>
        <w:rPr>
          <w:rFonts w:ascii="微软雅黑" w:eastAsia="微软雅黑" w:hAnsi="微软雅黑"/>
          <w:b/>
          <w:bCs/>
          <w:sz w:val="24"/>
          <w:szCs w:val="28"/>
        </w:rPr>
      </w:pPr>
    </w:p>
    <w:p w14:paraId="1E5EA120" w14:textId="77777777" w:rsidR="00A67855" w:rsidRDefault="00512368">
      <w:pPr>
        <w:jc w:val="center"/>
        <w:rPr>
          <w:rFonts w:ascii="微软雅黑" w:eastAsia="微软雅黑" w:hAnsi="微软雅黑"/>
          <w:b/>
          <w:bCs/>
          <w:sz w:val="28"/>
          <w:szCs w:val="32"/>
        </w:rPr>
      </w:pPr>
      <w:r>
        <w:rPr>
          <w:noProof/>
          <w:sz w:val="22"/>
          <w:szCs w:val="24"/>
        </w:rPr>
        <w:lastRenderedPageBreak/>
        <w:drawing>
          <wp:anchor distT="0" distB="0" distL="114300" distR="114300" simplePos="0" relativeHeight="251659264" behindDoc="0" locked="0" layoutInCell="1" allowOverlap="1" wp14:anchorId="1D1852A1" wp14:editId="4926A95A">
            <wp:simplePos x="0" y="0"/>
            <wp:positionH relativeFrom="margin">
              <wp:posOffset>93980</wp:posOffset>
            </wp:positionH>
            <wp:positionV relativeFrom="margin">
              <wp:posOffset>498475</wp:posOffset>
            </wp:positionV>
            <wp:extent cx="4698365" cy="2019300"/>
            <wp:effectExtent l="0" t="0" r="6985"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698365" cy="2019300"/>
                    </a:xfrm>
                    <a:prstGeom prst="rect">
                      <a:avLst/>
                    </a:prstGeom>
                    <a:noFill/>
                  </pic:spPr>
                </pic:pic>
              </a:graphicData>
            </a:graphic>
          </wp:anchor>
        </w:drawing>
      </w:r>
      <w:r>
        <w:rPr>
          <w:rFonts w:ascii="微软雅黑" w:eastAsia="微软雅黑" w:hAnsi="微软雅黑" w:hint="eastAsia"/>
          <w:b/>
          <w:bCs/>
          <w:sz w:val="28"/>
          <w:szCs w:val="32"/>
        </w:rPr>
        <w:t>华为破解以上困局的核心方法论——B</w:t>
      </w:r>
      <w:r>
        <w:rPr>
          <w:rFonts w:ascii="微软雅黑" w:eastAsia="微软雅黑" w:hAnsi="微软雅黑"/>
          <w:b/>
          <w:bCs/>
          <w:sz w:val="28"/>
          <w:szCs w:val="32"/>
        </w:rPr>
        <w:t>LM</w:t>
      </w:r>
      <w:r>
        <w:rPr>
          <w:rFonts w:ascii="微软雅黑" w:eastAsia="微软雅黑" w:hAnsi="微软雅黑" w:hint="eastAsia"/>
          <w:b/>
          <w:bCs/>
          <w:sz w:val="28"/>
          <w:szCs w:val="32"/>
        </w:rPr>
        <w:t>业务领先模型</w:t>
      </w:r>
    </w:p>
    <w:p w14:paraId="2F58119B" w14:textId="77777777" w:rsidR="00A67855" w:rsidRDefault="00512368">
      <w:pPr>
        <w:ind w:firstLineChars="600" w:firstLine="1320"/>
        <w:rPr>
          <w:rFonts w:ascii="微软雅黑" w:eastAsia="微软雅黑" w:hAnsi="微软雅黑"/>
          <w:sz w:val="22"/>
          <w:szCs w:val="24"/>
        </w:rPr>
      </w:pPr>
      <w:r>
        <w:rPr>
          <w:rFonts w:ascii="微软雅黑" w:eastAsia="微软雅黑" w:hAnsi="微软雅黑"/>
          <w:noProof/>
          <w:sz w:val="22"/>
          <w:szCs w:val="24"/>
        </w:rPr>
        <mc:AlternateContent>
          <mc:Choice Requires="wps">
            <w:drawing>
              <wp:anchor distT="0" distB="0" distL="114300" distR="114300" simplePos="0" relativeHeight="251660288" behindDoc="0" locked="0" layoutInCell="1" allowOverlap="1" wp14:anchorId="6B3BCABE" wp14:editId="6FDDCE30">
                <wp:simplePos x="0" y="0"/>
                <wp:positionH relativeFrom="column">
                  <wp:posOffset>705485</wp:posOffset>
                </wp:positionH>
                <wp:positionV relativeFrom="paragraph">
                  <wp:posOffset>2193925</wp:posOffset>
                </wp:positionV>
                <wp:extent cx="3555365" cy="8255"/>
                <wp:effectExtent l="0" t="57150" r="45085" b="86995"/>
                <wp:wrapNone/>
                <wp:docPr id="4" name="直接箭头连接符 4"/>
                <wp:cNvGraphicFramePr/>
                <a:graphic xmlns:a="http://schemas.openxmlformats.org/drawingml/2006/main">
                  <a:graphicData uri="http://schemas.microsoft.com/office/word/2010/wordprocessingShape">
                    <wps:wsp>
                      <wps:cNvCnPr/>
                      <wps:spPr>
                        <a:xfrm>
                          <a:off x="0" y="0"/>
                          <a:ext cx="3555577" cy="8466"/>
                        </a:xfrm>
                        <a:prstGeom prst="straightConnector1">
                          <a:avLst/>
                        </a:prstGeom>
                        <a:ln w="127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5.55pt;margin-top:172.75pt;height:0.65pt;width:279.95pt;z-index:251660288;mso-width-relative:page;mso-height-relative:page;" filled="f" stroked="t" coordsize="21600,21600" o:gfxdata="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a4RQ2QAAAAsB&#10;AAAPAAAAAAAAAAEAIAAAACIAAABkcnMvZG93bnJldi54bWxQSwECFAAUAAAACACHTuJAzmONqhoC&#10;AAAHBAAADgAAAAAAAAABACAAAAAoAQAAZHJzL2Uyb0RvYy54bWxQSwUGAAAAAAYABgBZAQAAtAUA&#10;AAAA&#10;">
                <v:fill on="f" focussize="0,0"/>
                <v:stroke weight="1pt" color="#4A7EBB [3204]" joinstyle="round" endarrow="block"/>
                <v:imagedata o:title=""/>
                <o:lock v:ext="edit" aspectratio="f"/>
              </v:shape>
            </w:pict>
          </mc:Fallback>
        </mc:AlternateContent>
      </w:r>
      <w:r>
        <w:rPr>
          <w:rFonts w:ascii="微软雅黑" w:eastAsia="微软雅黑" w:hAnsi="微软雅黑" w:hint="eastAsia"/>
          <w:sz w:val="22"/>
          <w:szCs w:val="24"/>
        </w:rPr>
        <w:t xml:space="preserve">提升战略领导力 </w:t>
      </w:r>
      <w:r>
        <w:rPr>
          <w:rFonts w:ascii="微软雅黑" w:eastAsia="微软雅黑" w:hAnsi="微软雅黑"/>
          <w:sz w:val="22"/>
          <w:szCs w:val="24"/>
        </w:rPr>
        <w:t xml:space="preserve">I </w:t>
      </w:r>
      <w:r>
        <w:rPr>
          <w:rFonts w:ascii="微软雅黑" w:eastAsia="微软雅黑" w:hAnsi="微软雅黑" w:hint="eastAsia"/>
          <w:sz w:val="22"/>
          <w:szCs w:val="24"/>
        </w:rPr>
        <w:t>洞察增长机会 I</w:t>
      </w:r>
      <w:r>
        <w:rPr>
          <w:rFonts w:ascii="微软雅黑" w:eastAsia="微软雅黑" w:hAnsi="微软雅黑"/>
          <w:sz w:val="22"/>
          <w:szCs w:val="24"/>
        </w:rPr>
        <w:t xml:space="preserve"> </w:t>
      </w:r>
      <w:r>
        <w:rPr>
          <w:rFonts w:ascii="微软雅黑" w:eastAsia="微软雅黑" w:hAnsi="微软雅黑" w:hint="eastAsia"/>
          <w:sz w:val="22"/>
          <w:szCs w:val="24"/>
        </w:rPr>
        <w:t>规划增长路径</w:t>
      </w:r>
    </w:p>
    <w:p w14:paraId="60A83E00" w14:textId="77777777" w:rsidR="00A67855" w:rsidRDefault="00512368">
      <w:pPr>
        <w:jc w:val="left"/>
        <w:rPr>
          <w:rFonts w:ascii="微软雅黑" w:eastAsia="微软雅黑" w:hAnsi="微软雅黑"/>
          <w:sz w:val="24"/>
          <w:szCs w:val="28"/>
        </w:rPr>
      </w:pPr>
      <w:r>
        <w:rPr>
          <w:rFonts w:ascii="微软雅黑" w:eastAsia="微软雅黑" w:hAnsi="微软雅黑" w:hint="eastAsia"/>
          <w:sz w:val="24"/>
          <w:szCs w:val="28"/>
        </w:rPr>
        <w:t>让偶然成为必然！帮助企业理清</w:t>
      </w:r>
      <w:r>
        <w:rPr>
          <w:rFonts w:ascii="微软雅黑" w:eastAsia="微软雅黑" w:hAnsi="微软雅黑" w:hint="eastAsia"/>
          <w:b/>
          <w:bCs/>
          <w:sz w:val="24"/>
          <w:szCs w:val="28"/>
        </w:rPr>
        <w:t>四大问题！</w:t>
      </w:r>
      <w:r>
        <w:rPr>
          <w:rFonts w:ascii="微软雅黑" w:eastAsia="微软雅黑" w:hAnsi="微软雅黑" w:hint="eastAsia"/>
          <w:sz w:val="24"/>
          <w:szCs w:val="28"/>
        </w:rPr>
        <w:t xml:space="preserve"> </w:t>
      </w:r>
    </w:p>
    <w:p w14:paraId="315F65E9" w14:textId="77777777" w:rsidR="00A67855" w:rsidRDefault="00512368">
      <w:pPr>
        <w:jc w:val="left"/>
        <w:rPr>
          <w:rFonts w:ascii="微软雅黑" w:eastAsia="微软雅黑" w:hAnsi="微软雅黑"/>
          <w:color w:val="FF0000"/>
          <w:sz w:val="24"/>
          <w:szCs w:val="28"/>
        </w:rPr>
      </w:pPr>
      <w:r>
        <w:rPr>
          <w:rFonts w:ascii="微软雅黑" w:eastAsia="微软雅黑" w:hAnsi="微软雅黑" w:hint="eastAsia"/>
          <w:b/>
          <w:bCs/>
          <w:color w:val="000000" w:themeColor="text1"/>
          <w:sz w:val="24"/>
          <w:szCs w:val="28"/>
        </w:rPr>
        <w:t>变化在哪里？</w:t>
      </w:r>
      <w:r>
        <w:rPr>
          <w:rFonts w:ascii="微软雅黑" w:eastAsia="微软雅黑" w:hAnsi="微软雅黑" w:hint="eastAsia"/>
          <w:sz w:val="24"/>
          <w:szCs w:val="28"/>
        </w:rPr>
        <w:t>——通过市场洞察看清行业、看清客户、看清竞争对手、看清自己、看清机会；</w:t>
      </w:r>
    </w:p>
    <w:p w14:paraId="33D5624E" w14:textId="77777777" w:rsidR="00A67855" w:rsidRDefault="00512368">
      <w:pPr>
        <w:jc w:val="left"/>
        <w:rPr>
          <w:rFonts w:ascii="微软雅黑" w:eastAsia="微软雅黑" w:hAnsi="微软雅黑"/>
          <w:color w:val="FF0000"/>
          <w:sz w:val="24"/>
          <w:szCs w:val="28"/>
        </w:rPr>
      </w:pPr>
      <w:r>
        <w:rPr>
          <w:rFonts w:ascii="微软雅黑" w:eastAsia="微软雅黑" w:hAnsi="微软雅黑" w:hint="eastAsia"/>
          <w:b/>
          <w:bCs/>
          <w:color w:val="000000" w:themeColor="text1"/>
          <w:sz w:val="24"/>
          <w:szCs w:val="28"/>
        </w:rPr>
        <w:t>准备去哪里？</w:t>
      </w:r>
      <w:r>
        <w:rPr>
          <w:rFonts w:ascii="微软雅黑" w:eastAsia="微软雅黑" w:hAnsi="微软雅黑" w:hint="eastAsia"/>
          <w:sz w:val="24"/>
          <w:szCs w:val="28"/>
        </w:rPr>
        <w:t>——通过战略意图定下企业经营计划，回答企业该做什么、做成什么样，怎么做的问题</w:t>
      </w:r>
      <w:r>
        <w:rPr>
          <w:rFonts w:ascii="微软雅黑" w:eastAsia="微软雅黑" w:hAnsi="微软雅黑"/>
          <w:sz w:val="24"/>
          <w:szCs w:val="28"/>
        </w:rPr>
        <w:t xml:space="preserve"> </w:t>
      </w:r>
      <w:r>
        <w:rPr>
          <w:rFonts w:ascii="微软雅黑" w:eastAsia="微软雅黑" w:hAnsi="微软雅黑" w:hint="eastAsia"/>
          <w:sz w:val="24"/>
          <w:szCs w:val="28"/>
        </w:rPr>
        <w:t>；</w:t>
      </w:r>
    </w:p>
    <w:p w14:paraId="1C2908D4" w14:textId="77777777" w:rsidR="00A67855" w:rsidRDefault="00512368">
      <w:pPr>
        <w:jc w:val="left"/>
        <w:rPr>
          <w:rFonts w:ascii="微软雅黑" w:eastAsia="微软雅黑" w:hAnsi="微软雅黑"/>
          <w:color w:val="FF0000"/>
          <w:sz w:val="24"/>
          <w:szCs w:val="28"/>
        </w:rPr>
      </w:pPr>
      <w:r>
        <w:rPr>
          <w:rFonts w:ascii="微软雅黑" w:eastAsia="微软雅黑" w:hAnsi="微软雅黑" w:hint="eastAsia"/>
          <w:b/>
          <w:bCs/>
          <w:color w:val="000000" w:themeColor="text1"/>
          <w:sz w:val="24"/>
          <w:szCs w:val="28"/>
        </w:rPr>
        <w:t>目前在哪里？</w:t>
      </w:r>
      <w:r>
        <w:rPr>
          <w:rFonts w:ascii="微软雅黑" w:eastAsia="微软雅黑" w:hAnsi="微软雅黑" w:hint="eastAsia"/>
          <w:sz w:val="24"/>
          <w:szCs w:val="28"/>
        </w:rPr>
        <w:t>——通过差距分析找到业绩差距与机会差距，认清企业经营现状；</w:t>
      </w:r>
    </w:p>
    <w:p w14:paraId="6D447339" w14:textId="77777777" w:rsidR="00A67855" w:rsidRDefault="00512368">
      <w:pPr>
        <w:jc w:val="left"/>
        <w:rPr>
          <w:rFonts w:ascii="微软雅黑" w:eastAsia="微软雅黑" w:hAnsi="微软雅黑"/>
          <w:color w:val="FF0000"/>
          <w:sz w:val="24"/>
          <w:szCs w:val="28"/>
        </w:rPr>
      </w:pPr>
      <w:r>
        <w:rPr>
          <w:rFonts w:ascii="微软雅黑" w:eastAsia="微软雅黑" w:hAnsi="微软雅黑" w:hint="eastAsia"/>
          <w:b/>
          <w:bCs/>
          <w:color w:val="000000" w:themeColor="text1"/>
          <w:sz w:val="24"/>
          <w:szCs w:val="28"/>
        </w:rPr>
        <w:t>怎么去那里？</w:t>
      </w:r>
      <w:r>
        <w:rPr>
          <w:rFonts w:ascii="微软雅黑" w:eastAsia="微软雅黑" w:hAnsi="微软雅黑" w:hint="eastAsia"/>
          <w:sz w:val="24"/>
          <w:szCs w:val="28"/>
        </w:rPr>
        <w:t>——通过创新焦点和业务设计构建核心竞争力，通过战略解码实现战略分解，通过关键任务、组织、人才、考核激励支撑战略落地；</w:t>
      </w:r>
    </w:p>
    <w:p w14:paraId="7605331C" w14:textId="77777777" w:rsidR="00A67855" w:rsidRDefault="00A67855">
      <w:pPr>
        <w:jc w:val="left"/>
        <w:rPr>
          <w:rFonts w:ascii="微软雅黑" w:eastAsia="微软雅黑" w:hAnsi="微软雅黑"/>
          <w:b/>
          <w:bCs/>
          <w:sz w:val="24"/>
          <w:szCs w:val="28"/>
        </w:rPr>
      </w:pPr>
    </w:p>
    <w:p w14:paraId="4086BE78" w14:textId="77777777" w:rsidR="00A67855" w:rsidRDefault="00512368">
      <w:pPr>
        <w:pStyle w:val="ab"/>
        <w:numPr>
          <w:ilvl w:val="0"/>
          <w:numId w:val="7"/>
        </w:numPr>
        <w:ind w:firstLineChars="0"/>
        <w:jc w:val="left"/>
        <w:rPr>
          <w:rFonts w:ascii="微软雅黑" w:eastAsia="微软雅黑" w:hAnsi="微软雅黑"/>
          <w:b/>
          <w:bCs/>
          <w:sz w:val="24"/>
          <w:szCs w:val="28"/>
        </w:rPr>
      </w:pPr>
      <w:proofErr w:type="gramStart"/>
      <w:r>
        <w:rPr>
          <w:rFonts w:ascii="微软雅黑" w:eastAsia="微软雅黑" w:hAnsi="微软雅黑" w:hint="eastAsia"/>
          <w:b/>
          <w:bCs/>
          <w:sz w:val="24"/>
          <w:szCs w:val="28"/>
        </w:rPr>
        <w:t>训战营</w:t>
      </w:r>
      <w:proofErr w:type="gramEnd"/>
      <w:r>
        <w:rPr>
          <w:rFonts w:ascii="微软雅黑" w:eastAsia="微软雅黑" w:hAnsi="微软雅黑" w:hint="eastAsia"/>
          <w:b/>
          <w:bCs/>
          <w:sz w:val="24"/>
          <w:szCs w:val="28"/>
        </w:rPr>
        <w:t>收益：</w:t>
      </w:r>
    </w:p>
    <w:p w14:paraId="0C45E0D5" w14:textId="77777777" w:rsidR="00A67855" w:rsidRDefault="00512368">
      <w:pPr>
        <w:pStyle w:val="ab"/>
        <w:numPr>
          <w:ilvl w:val="0"/>
          <w:numId w:val="8"/>
        </w:numPr>
        <w:snapToGrid w:val="0"/>
        <w:spacing w:line="276" w:lineRule="auto"/>
        <w:ind w:firstLineChars="0"/>
        <w:rPr>
          <w:rFonts w:ascii="微软雅黑" w:eastAsia="微软雅黑" w:hAnsi="微软雅黑"/>
          <w:sz w:val="24"/>
        </w:rPr>
      </w:pPr>
      <w:bookmarkStart w:id="0" w:name="_Toc6808"/>
      <w:bookmarkStart w:id="1" w:name="_Toc501102052"/>
      <w:r>
        <w:rPr>
          <w:rFonts w:ascii="微软雅黑" w:eastAsia="微软雅黑" w:hAnsi="微软雅黑" w:hint="eastAsia"/>
          <w:sz w:val="24"/>
        </w:rPr>
        <w:t>一套机制：统一战略语言和思想，收获成就行业领先者的心法与打法</w:t>
      </w:r>
    </w:p>
    <w:p w14:paraId="6FCEF9AF" w14:textId="77777777" w:rsidR="00A67855" w:rsidRDefault="00512368">
      <w:pPr>
        <w:pStyle w:val="ab"/>
        <w:numPr>
          <w:ilvl w:val="0"/>
          <w:numId w:val="8"/>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两项成果：输出公司战略规划（SP）与年度经营计划（BP），包括：公司机会点、战略规划、关键路径、目标分解、关键任务、行动计划等；</w:t>
      </w:r>
    </w:p>
    <w:p w14:paraId="724D9227" w14:textId="77777777" w:rsidR="00A67855" w:rsidRDefault="00512368">
      <w:pPr>
        <w:pStyle w:val="ab"/>
        <w:numPr>
          <w:ilvl w:val="0"/>
          <w:numId w:val="8"/>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三个做到：</w:t>
      </w:r>
      <w:r>
        <w:rPr>
          <w:rFonts w:ascii="微软雅黑" w:eastAsia="微软雅黑" w:hAnsi="微软雅黑"/>
          <w:sz w:val="24"/>
        </w:rPr>
        <w:t>战略</w:t>
      </w:r>
      <w:r>
        <w:rPr>
          <w:rFonts w:ascii="微软雅黑" w:eastAsia="微软雅黑" w:hAnsi="微软雅黑" w:hint="eastAsia"/>
          <w:sz w:val="24"/>
        </w:rPr>
        <w:t>大致</w:t>
      </w:r>
      <w:r>
        <w:rPr>
          <w:rFonts w:ascii="微软雅黑" w:eastAsia="微软雅黑" w:hAnsi="微软雅黑"/>
          <w:sz w:val="24"/>
        </w:rPr>
        <w:t>正确，执行保障到位</w:t>
      </w:r>
      <w:r>
        <w:rPr>
          <w:rFonts w:ascii="微软雅黑" w:eastAsia="微软雅黑" w:hAnsi="微软雅黑" w:hint="eastAsia"/>
          <w:sz w:val="24"/>
        </w:rPr>
        <w:t>，</w:t>
      </w:r>
      <w:r>
        <w:rPr>
          <w:rFonts w:ascii="微软雅黑" w:eastAsia="微软雅黑" w:hAnsi="微软雅黑"/>
          <w:sz w:val="24"/>
        </w:rPr>
        <w:t>组织充满活力；</w:t>
      </w:r>
    </w:p>
    <w:bookmarkEnd w:id="0"/>
    <w:bookmarkEnd w:id="1"/>
    <w:p w14:paraId="24ECCB72" w14:textId="77777777" w:rsidR="00A67855" w:rsidRDefault="00A67855"/>
    <w:p w14:paraId="2B458FD5" w14:textId="77777777" w:rsidR="00A67855" w:rsidRDefault="00A67855">
      <w:pPr>
        <w:jc w:val="left"/>
        <w:rPr>
          <w:rFonts w:ascii="微软雅黑" w:eastAsia="微软雅黑" w:hAnsi="微软雅黑"/>
          <w:b/>
          <w:bCs/>
          <w:sz w:val="24"/>
          <w:szCs w:val="28"/>
        </w:rPr>
      </w:pPr>
    </w:p>
    <w:p w14:paraId="49D3FBCA" w14:textId="01C5224A" w:rsidR="004669D1" w:rsidRPr="004669D1" w:rsidRDefault="004669D1" w:rsidP="004669D1">
      <w:pPr>
        <w:pStyle w:val="ab"/>
        <w:numPr>
          <w:ilvl w:val="0"/>
          <w:numId w:val="7"/>
        </w:numPr>
        <w:ind w:firstLineChars="0"/>
        <w:jc w:val="left"/>
        <w:rPr>
          <w:rFonts w:ascii="微软雅黑" w:eastAsia="微软雅黑" w:hAnsi="微软雅黑"/>
          <w:b/>
          <w:bCs/>
          <w:sz w:val="24"/>
          <w:szCs w:val="28"/>
        </w:rPr>
      </w:pPr>
      <w:r w:rsidRPr="004669D1">
        <w:rPr>
          <w:rFonts w:ascii="微软雅黑" w:eastAsia="微软雅黑" w:hAnsi="微软雅黑"/>
          <w:b/>
          <w:bCs/>
          <w:sz w:val="24"/>
          <w:szCs w:val="28"/>
        </w:rPr>
        <w:lastRenderedPageBreak/>
        <w:t>【培训</w:t>
      </w:r>
      <w:r w:rsidRPr="004669D1">
        <w:rPr>
          <w:rFonts w:ascii="微软雅黑" w:eastAsia="微软雅黑" w:hAnsi="微软雅黑" w:hint="eastAsia"/>
          <w:b/>
          <w:bCs/>
          <w:sz w:val="24"/>
          <w:szCs w:val="28"/>
        </w:rPr>
        <w:t>时长</w:t>
      </w:r>
      <w:r w:rsidRPr="004669D1">
        <w:rPr>
          <w:rFonts w:ascii="微软雅黑" w:eastAsia="微软雅黑" w:hAnsi="微软雅黑"/>
          <w:b/>
          <w:bCs/>
          <w:sz w:val="24"/>
          <w:szCs w:val="28"/>
        </w:rPr>
        <w:t>】</w:t>
      </w:r>
    </w:p>
    <w:p w14:paraId="4961D923" w14:textId="6E3A2782" w:rsidR="004669D1" w:rsidRPr="004669D1" w:rsidRDefault="004669D1" w:rsidP="004669D1">
      <w:pPr>
        <w:pStyle w:val="ab"/>
        <w:spacing w:line="360" w:lineRule="auto"/>
        <w:ind w:left="420" w:firstLineChars="0" w:firstLine="0"/>
        <w:rPr>
          <w:rFonts w:ascii="微软雅黑" w:eastAsia="微软雅黑" w:hAnsi="微软雅黑"/>
          <w:sz w:val="24"/>
        </w:rPr>
      </w:pPr>
      <w:r w:rsidRPr="004669D1">
        <w:rPr>
          <w:rFonts w:ascii="微软雅黑" w:eastAsia="微软雅黑" w:hAnsi="微软雅黑" w:hint="eastAsia"/>
          <w:sz w:val="24"/>
        </w:rPr>
        <w:t>共计</w:t>
      </w:r>
      <w:r w:rsidR="00B21349">
        <w:rPr>
          <w:rFonts w:ascii="微软雅黑" w:eastAsia="微软雅黑" w:hAnsi="微软雅黑"/>
          <w:sz w:val="24"/>
        </w:rPr>
        <w:t>3</w:t>
      </w:r>
      <w:r w:rsidRPr="004669D1">
        <w:rPr>
          <w:rFonts w:ascii="微软雅黑" w:eastAsia="微软雅黑" w:hAnsi="微软雅黑" w:hint="eastAsia"/>
          <w:sz w:val="24"/>
        </w:rPr>
        <w:t>次面授</w:t>
      </w:r>
      <w:r w:rsidR="001B70D3">
        <w:rPr>
          <w:rFonts w:ascii="微软雅黑" w:eastAsia="微软雅黑" w:hAnsi="微软雅黑" w:hint="eastAsia"/>
          <w:sz w:val="24"/>
        </w:rPr>
        <w:t>（2+</w:t>
      </w:r>
      <w:r w:rsidR="001B70D3">
        <w:rPr>
          <w:rFonts w:ascii="微软雅黑" w:eastAsia="微软雅黑" w:hAnsi="微软雅黑"/>
          <w:sz w:val="24"/>
        </w:rPr>
        <w:t>2</w:t>
      </w:r>
      <w:r w:rsidR="001B70D3">
        <w:rPr>
          <w:rFonts w:ascii="微软雅黑" w:eastAsia="微软雅黑" w:hAnsi="微软雅黑" w:hint="eastAsia"/>
          <w:sz w:val="24"/>
        </w:rPr>
        <w:t>+</w:t>
      </w:r>
      <w:r w:rsidR="001B70D3">
        <w:rPr>
          <w:rFonts w:ascii="微软雅黑" w:eastAsia="微软雅黑" w:hAnsi="微软雅黑"/>
          <w:sz w:val="24"/>
        </w:rPr>
        <w:t>2</w:t>
      </w:r>
      <w:r w:rsidR="001B70D3">
        <w:rPr>
          <w:rFonts w:ascii="微软雅黑" w:eastAsia="微软雅黑" w:hAnsi="微软雅黑" w:hint="eastAsia"/>
          <w:sz w:val="24"/>
        </w:rPr>
        <w:t>天）</w:t>
      </w:r>
      <w:r w:rsidRPr="004669D1">
        <w:rPr>
          <w:rFonts w:ascii="微软雅黑" w:eastAsia="微软雅黑" w:hAnsi="微软雅黑" w:hint="eastAsia"/>
          <w:sz w:val="24"/>
        </w:rPr>
        <w:t>，</w:t>
      </w:r>
      <w:r w:rsidR="00EC376C">
        <w:rPr>
          <w:rFonts w:ascii="微软雅黑" w:eastAsia="微软雅黑" w:hAnsi="微软雅黑"/>
          <w:sz w:val="24"/>
        </w:rPr>
        <w:t>6</w:t>
      </w:r>
      <w:r w:rsidR="00EC376C">
        <w:rPr>
          <w:rFonts w:ascii="微软雅黑" w:eastAsia="微软雅黑" w:hAnsi="微软雅黑" w:hint="eastAsia"/>
          <w:sz w:val="24"/>
        </w:rPr>
        <w:t>周辅导</w:t>
      </w:r>
      <w:r w:rsidR="00202C6B">
        <w:rPr>
          <w:rFonts w:ascii="微软雅黑" w:eastAsia="微软雅黑" w:hAnsi="微软雅黑" w:hint="eastAsia"/>
          <w:sz w:val="24"/>
        </w:rPr>
        <w:t>，</w:t>
      </w:r>
      <w:r w:rsidRPr="004669D1">
        <w:rPr>
          <w:rFonts w:ascii="微软雅黑" w:eastAsia="微软雅黑" w:hAnsi="微软雅黑" w:hint="eastAsia"/>
          <w:sz w:val="24"/>
        </w:rPr>
        <w:t>约</w:t>
      </w:r>
      <w:r w:rsidR="00EC376C">
        <w:rPr>
          <w:rFonts w:ascii="微软雅黑" w:eastAsia="微软雅黑" w:hAnsi="微软雅黑"/>
          <w:sz w:val="24"/>
        </w:rPr>
        <w:t>1</w:t>
      </w:r>
      <w:r w:rsidRPr="004669D1">
        <w:rPr>
          <w:rFonts w:ascii="微软雅黑" w:eastAsia="微软雅黑" w:hAnsi="微软雅黑" w:hint="eastAsia"/>
          <w:sz w:val="24"/>
        </w:rPr>
        <w:t>个</w:t>
      </w:r>
      <w:r w:rsidR="00EC376C">
        <w:rPr>
          <w:rFonts w:ascii="微软雅黑" w:eastAsia="微软雅黑" w:hAnsi="微软雅黑" w:hint="eastAsia"/>
          <w:sz w:val="24"/>
        </w:rPr>
        <w:t>半</w:t>
      </w:r>
      <w:r w:rsidRPr="004669D1">
        <w:rPr>
          <w:rFonts w:ascii="微软雅黑" w:eastAsia="微软雅黑" w:hAnsi="微软雅黑" w:hint="eastAsia"/>
          <w:sz w:val="24"/>
        </w:rPr>
        <w:t>月时长</w:t>
      </w:r>
    </w:p>
    <w:p w14:paraId="26ABB9CB" w14:textId="4F8556DA" w:rsidR="00A67855" w:rsidRDefault="00512368">
      <w:pPr>
        <w:pStyle w:val="ab"/>
        <w:numPr>
          <w:ilvl w:val="0"/>
          <w:numId w:val="7"/>
        </w:numPr>
        <w:ind w:firstLineChars="0"/>
        <w:jc w:val="left"/>
        <w:rPr>
          <w:rFonts w:ascii="微软雅黑" w:eastAsia="微软雅黑" w:hAnsi="微软雅黑"/>
          <w:b/>
          <w:bCs/>
          <w:sz w:val="24"/>
          <w:szCs w:val="28"/>
        </w:rPr>
      </w:pPr>
      <w:r>
        <w:rPr>
          <w:rFonts w:ascii="微软雅黑" w:eastAsia="微软雅黑" w:hAnsi="微软雅黑" w:hint="eastAsia"/>
          <w:b/>
          <w:bCs/>
          <w:sz w:val="24"/>
          <w:szCs w:val="28"/>
        </w:rPr>
        <w:t>学员对象</w:t>
      </w:r>
    </w:p>
    <w:p w14:paraId="25036B4D" w14:textId="77777777" w:rsidR="00A67855" w:rsidRDefault="00512368" w:rsidP="00A93EBE">
      <w:pPr>
        <w:pStyle w:val="ab"/>
        <w:numPr>
          <w:ilvl w:val="0"/>
          <w:numId w:val="12"/>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高层：董事长、董事、CEO、总经理，副总裁、事业部总经理</w:t>
      </w:r>
    </w:p>
    <w:p w14:paraId="0F38388D" w14:textId="286783DB" w:rsidR="00A67855" w:rsidRDefault="00512368" w:rsidP="00A93EBE">
      <w:pPr>
        <w:pStyle w:val="ab"/>
        <w:numPr>
          <w:ilvl w:val="0"/>
          <w:numId w:val="12"/>
        </w:numPr>
        <w:snapToGrid w:val="0"/>
        <w:spacing w:line="276" w:lineRule="auto"/>
        <w:ind w:firstLineChars="0"/>
        <w:rPr>
          <w:rFonts w:ascii="微软雅黑" w:eastAsia="微软雅黑" w:hAnsi="微软雅黑"/>
          <w:sz w:val="24"/>
        </w:rPr>
      </w:pPr>
      <w:r>
        <w:rPr>
          <w:rFonts w:ascii="微软雅黑" w:eastAsia="微软雅黑" w:hAnsi="微软雅黑" w:hint="eastAsia"/>
          <w:sz w:val="24"/>
        </w:rPr>
        <w:t>中层：关键部门一、二把手（战略、市场、产品、研发、生产运营、售后、HR、财务等部门领导）</w:t>
      </w:r>
    </w:p>
    <w:p w14:paraId="7ADE28F3" w14:textId="5424F649" w:rsidR="00A67855" w:rsidRPr="009E447E" w:rsidRDefault="00031A89" w:rsidP="00A93EBE">
      <w:pPr>
        <w:pStyle w:val="ab"/>
        <w:numPr>
          <w:ilvl w:val="0"/>
          <w:numId w:val="12"/>
        </w:numPr>
        <w:ind w:firstLineChars="0"/>
        <w:jc w:val="left"/>
        <w:rPr>
          <w:rFonts w:ascii="微软雅黑" w:eastAsia="微软雅黑" w:hAnsi="微软雅黑"/>
          <w:sz w:val="24"/>
        </w:rPr>
      </w:pPr>
      <w:r w:rsidRPr="00031A89">
        <w:rPr>
          <w:rFonts w:ascii="微软雅黑" w:eastAsia="微软雅黑" w:hAnsi="微软雅黑" w:hint="eastAsia"/>
          <w:sz w:val="24"/>
        </w:rPr>
        <w:t>企业核心骨干、重点培养人员等</w:t>
      </w:r>
    </w:p>
    <w:p w14:paraId="37D5E72B" w14:textId="0DCBFE1C" w:rsidR="00A67855" w:rsidRDefault="0067006C">
      <w:pPr>
        <w:pStyle w:val="ab"/>
        <w:numPr>
          <w:ilvl w:val="0"/>
          <w:numId w:val="10"/>
        </w:numPr>
        <w:ind w:firstLineChars="0"/>
        <w:jc w:val="left"/>
        <w:rPr>
          <w:rFonts w:ascii="微软雅黑" w:eastAsia="微软雅黑" w:hAnsi="微软雅黑"/>
          <w:b/>
          <w:bCs/>
          <w:sz w:val="24"/>
          <w:szCs w:val="28"/>
        </w:rPr>
      </w:pPr>
      <w:r>
        <w:rPr>
          <w:rFonts w:ascii="微软雅黑" w:eastAsia="微软雅黑" w:hAnsi="微软雅黑" w:hint="eastAsia"/>
          <w:b/>
          <w:bCs/>
          <w:sz w:val="24"/>
          <w:szCs w:val="28"/>
        </w:rPr>
        <w:t>市场洞察课程大纲</w:t>
      </w:r>
    </w:p>
    <w:tbl>
      <w:tblPr>
        <w:tblStyle w:val="aa"/>
        <w:tblW w:w="880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FFF" w:themeFill="background1"/>
        <w:tblLook w:val="04A0" w:firstRow="1" w:lastRow="0" w:firstColumn="1" w:lastColumn="0" w:noHBand="0" w:noVBand="1"/>
      </w:tblPr>
      <w:tblGrid>
        <w:gridCol w:w="2317"/>
        <w:gridCol w:w="4331"/>
        <w:gridCol w:w="2156"/>
      </w:tblGrid>
      <w:tr w:rsidR="00B21349" w14:paraId="02C84E02" w14:textId="77777777" w:rsidTr="007249E3">
        <w:trPr>
          <w:trHeight w:val="473"/>
        </w:trPr>
        <w:tc>
          <w:tcPr>
            <w:tcW w:w="2317" w:type="dxa"/>
            <w:shd w:val="clear" w:color="auto" w:fill="FFFFFF" w:themeFill="background1"/>
          </w:tcPr>
          <w:p w14:paraId="661148F5" w14:textId="77777777" w:rsidR="00B21349" w:rsidRDefault="00B21349">
            <w:pPr>
              <w:widowControl/>
              <w:spacing w:line="288" w:lineRule="auto"/>
              <w:jc w:val="center"/>
              <w:rPr>
                <w:rFonts w:ascii="微软雅黑" w:eastAsia="微软雅黑" w:hAnsi="微软雅黑" w:cs="Arial"/>
                <w:kern w:val="0"/>
                <w:sz w:val="22"/>
              </w:rPr>
            </w:pPr>
            <w:r>
              <w:rPr>
                <w:rFonts w:ascii="微软雅黑" w:eastAsia="微软雅黑" w:hAnsi="微软雅黑" w:cs="Arial" w:hint="eastAsia"/>
                <w:color w:val="000000"/>
                <w:sz w:val="22"/>
              </w:rPr>
              <w:t>课程模块</w:t>
            </w:r>
          </w:p>
        </w:tc>
        <w:tc>
          <w:tcPr>
            <w:tcW w:w="4331" w:type="dxa"/>
            <w:shd w:val="clear" w:color="auto" w:fill="FFFFFF" w:themeFill="background1"/>
          </w:tcPr>
          <w:p w14:paraId="4028C163" w14:textId="77777777" w:rsidR="00B21349" w:rsidRDefault="00B21349">
            <w:pPr>
              <w:widowControl/>
              <w:spacing w:line="288" w:lineRule="auto"/>
              <w:jc w:val="center"/>
              <w:rPr>
                <w:rFonts w:ascii="微软雅黑" w:eastAsia="微软雅黑" w:hAnsi="微软雅黑" w:cs="Arial"/>
                <w:kern w:val="0"/>
                <w:sz w:val="22"/>
              </w:rPr>
            </w:pPr>
            <w:r>
              <w:rPr>
                <w:rFonts w:ascii="微软雅黑" w:eastAsia="微软雅黑" w:hAnsi="微软雅黑" w:cs="Arial" w:hint="eastAsia"/>
                <w:color w:val="000000"/>
                <w:sz w:val="22"/>
              </w:rPr>
              <w:t>课程内容</w:t>
            </w:r>
          </w:p>
        </w:tc>
        <w:tc>
          <w:tcPr>
            <w:tcW w:w="2156" w:type="dxa"/>
            <w:shd w:val="clear" w:color="auto" w:fill="FFFFFF" w:themeFill="background1"/>
          </w:tcPr>
          <w:p w14:paraId="768FB965" w14:textId="77777777" w:rsidR="00B21349" w:rsidRDefault="00B21349">
            <w:pPr>
              <w:widowControl/>
              <w:spacing w:line="288" w:lineRule="auto"/>
              <w:jc w:val="center"/>
              <w:rPr>
                <w:rFonts w:ascii="微软雅黑" w:eastAsia="微软雅黑" w:hAnsi="微软雅黑" w:cs="Arial"/>
                <w:kern w:val="0"/>
                <w:sz w:val="22"/>
              </w:rPr>
            </w:pPr>
            <w:r>
              <w:rPr>
                <w:rFonts w:ascii="微软雅黑" w:eastAsia="微软雅黑" w:hAnsi="微软雅黑" w:cs="Times New Roman" w:hint="eastAsia"/>
                <w:color w:val="000000"/>
                <w:sz w:val="22"/>
              </w:rPr>
              <w:t>实战演练输出</w:t>
            </w:r>
          </w:p>
        </w:tc>
      </w:tr>
      <w:tr w:rsidR="00B21349" w14:paraId="41AC450A" w14:textId="77777777" w:rsidTr="007249E3">
        <w:trPr>
          <w:trHeight w:val="1056"/>
        </w:trPr>
        <w:tc>
          <w:tcPr>
            <w:tcW w:w="2317" w:type="dxa"/>
            <w:shd w:val="clear" w:color="auto" w:fill="FFFFFF" w:themeFill="background1"/>
          </w:tcPr>
          <w:p w14:paraId="27DD5F5B" w14:textId="77777777" w:rsidR="00B21349" w:rsidRDefault="00B21349">
            <w:pPr>
              <w:widowControl/>
              <w:spacing w:line="320" w:lineRule="exact"/>
              <w:jc w:val="center"/>
              <w:rPr>
                <w:rFonts w:ascii="微软雅黑" w:eastAsia="微软雅黑" w:hAnsi="微软雅黑" w:cs="Times New Roman"/>
                <w:color w:val="000000"/>
                <w:sz w:val="22"/>
              </w:rPr>
            </w:pPr>
            <w:r>
              <w:rPr>
                <w:rFonts w:ascii="微软雅黑" w:eastAsia="微软雅黑" w:hAnsi="微软雅黑" w:cs="Times New Roman" w:hint="eastAsia"/>
                <w:color w:val="000000"/>
                <w:sz w:val="22"/>
              </w:rPr>
              <w:t>第一章</w:t>
            </w:r>
          </w:p>
          <w:p w14:paraId="729FDB54" w14:textId="467335C2" w:rsidR="00B21349" w:rsidRDefault="00B21349">
            <w:pPr>
              <w:widowControl/>
              <w:spacing w:line="320" w:lineRule="exact"/>
              <w:jc w:val="center"/>
              <w:rPr>
                <w:rFonts w:ascii="微软雅黑" w:eastAsia="微软雅黑" w:hAnsi="微软雅黑" w:cs="Arial"/>
                <w:kern w:val="0"/>
                <w:sz w:val="22"/>
              </w:rPr>
            </w:pPr>
            <w:r>
              <w:rPr>
                <w:rFonts w:ascii="微软雅黑" w:eastAsia="微软雅黑" w:hAnsi="微软雅黑" w:cs="Times New Roman" w:hint="eastAsia"/>
                <w:color w:val="000000"/>
                <w:sz w:val="22"/>
              </w:rPr>
              <w:t>BLM</w:t>
            </w:r>
            <w:r w:rsidR="0067006C">
              <w:rPr>
                <w:rFonts w:ascii="微软雅黑" w:eastAsia="微软雅黑" w:hAnsi="微软雅黑" w:cs="Times New Roman" w:hint="eastAsia"/>
                <w:color w:val="000000"/>
                <w:sz w:val="22"/>
              </w:rPr>
              <w:t>业务领先模型介绍</w:t>
            </w:r>
          </w:p>
        </w:tc>
        <w:tc>
          <w:tcPr>
            <w:tcW w:w="4331" w:type="dxa"/>
            <w:shd w:val="clear" w:color="auto" w:fill="FFFFFF" w:themeFill="background1"/>
          </w:tcPr>
          <w:p w14:paraId="79AE2B56" w14:textId="77777777" w:rsidR="00B21349" w:rsidRDefault="00B21349">
            <w:pPr>
              <w:widowControl/>
              <w:spacing w:line="320" w:lineRule="exact"/>
              <w:jc w:val="left"/>
              <w:rPr>
                <w:rFonts w:ascii="微软雅黑" w:eastAsia="微软雅黑" w:hAnsi="微软雅黑" w:cs="Times New Roman"/>
                <w:color w:val="000000"/>
                <w:sz w:val="22"/>
              </w:rPr>
            </w:pPr>
            <w:r>
              <w:rPr>
                <w:rFonts w:ascii="微软雅黑" w:eastAsia="微软雅黑" w:hAnsi="微软雅黑" w:cs="Times New Roman" w:hint="eastAsia"/>
                <w:color w:val="000000"/>
                <w:sz w:val="22"/>
              </w:rPr>
              <w:t>1、要向华为学什么？</w:t>
            </w:r>
          </w:p>
          <w:p w14:paraId="29C16BF8" w14:textId="77777777" w:rsidR="00B21349" w:rsidRDefault="00B21349">
            <w:pPr>
              <w:widowControl/>
              <w:spacing w:line="320" w:lineRule="exact"/>
              <w:jc w:val="left"/>
              <w:rPr>
                <w:rFonts w:ascii="微软雅黑" w:eastAsia="微软雅黑" w:hAnsi="微软雅黑" w:cs="Times New Roman"/>
                <w:color w:val="000000"/>
                <w:sz w:val="22"/>
              </w:rPr>
            </w:pPr>
            <w:r>
              <w:rPr>
                <w:rFonts w:ascii="微软雅黑" w:eastAsia="微软雅黑" w:hAnsi="微软雅黑" w:cs="Times New Roman" w:hint="eastAsia"/>
                <w:color w:val="000000"/>
                <w:sz w:val="22"/>
              </w:rPr>
              <w:t>2、如何翻越企业增长困境</w:t>
            </w:r>
          </w:p>
          <w:p w14:paraId="7C57C7F5" w14:textId="77777777" w:rsidR="00B21349" w:rsidRDefault="00B21349">
            <w:pPr>
              <w:widowControl/>
              <w:spacing w:line="320" w:lineRule="exact"/>
              <w:jc w:val="left"/>
              <w:rPr>
                <w:rFonts w:ascii="微软雅黑" w:eastAsia="微软雅黑" w:hAnsi="微软雅黑" w:cs="Times New Roman"/>
                <w:color w:val="000000"/>
                <w:sz w:val="22"/>
              </w:rPr>
            </w:pPr>
            <w:r>
              <w:rPr>
                <w:rFonts w:ascii="微软雅黑" w:eastAsia="微软雅黑" w:hAnsi="微软雅黑" w:cs="Times New Roman" w:hint="eastAsia"/>
                <w:color w:val="000000"/>
                <w:sz w:val="22"/>
              </w:rPr>
              <w:t>3、BLM业务领先模型：方法论、技能与工具</w:t>
            </w:r>
          </w:p>
        </w:tc>
        <w:tc>
          <w:tcPr>
            <w:tcW w:w="2156" w:type="dxa"/>
            <w:shd w:val="clear" w:color="auto" w:fill="FFFFFF" w:themeFill="background1"/>
          </w:tcPr>
          <w:p w14:paraId="4E9EEB0E" w14:textId="77777777" w:rsidR="00B21349" w:rsidRDefault="00B21349">
            <w:pPr>
              <w:widowControl/>
              <w:spacing w:line="320" w:lineRule="exact"/>
              <w:jc w:val="center"/>
              <w:rPr>
                <w:rFonts w:ascii="微软雅黑" w:eastAsia="微软雅黑" w:hAnsi="微软雅黑" w:cs="Arial"/>
                <w:kern w:val="0"/>
                <w:sz w:val="22"/>
              </w:rPr>
            </w:pPr>
          </w:p>
        </w:tc>
      </w:tr>
      <w:tr w:rsidR="00B21349" w14:paraId="583C8393" w14:textId="77777777" w:rsidTr="007249E3">
        <w:trPr>
          <w:trHeight w:val="907"/>
        </w:trPr>
        <w:tc>
          <w:tcPr>
            <w:tcW w:w="2317" w:type="dxa"/>
            <w:shd w:val="clear" w:color="auto" w:fill="FFFFFF" w:themeFill="background1"/>
          </w:tcPr>
          <w:p w14:paraId="7D224836" w14:textId="1B98321C" w:rsidR="00B21349" w:rsidRDefault="00B21349">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sidR="0067006C">
              <w:rPr>
                <w:rFonts w:ascii="微软雅黑" w:eastAsia="微软雅黑" w:hAnsi="微软雅黑" w:cs="Arial" w:hint="eastAsia"/>
                <w:color w:val="000000"/>
                <w:sz w:val="22"/>
              </w:rPr>
              <w:t>二</w:t>
            </w:r>
            <w:r>
              <w:rPr>
                <w:rFonts w:ascii="微软雅黑" w:eastAsia="微软雅黑" w:hAnsi="微软雅黑" w:cs="Arial" w:hint="eastAsia"/>
                <w:color w:val="000000"/>
                <w:sz w:val="22"/>
              </w:rPr>
              <w:t>章</w:t>
            </w:r>
          </w:p>
          <w:p w14:paraId="27393987" w14:textId="1A6B2BEE" w:rsidR="00B21349" w:rsidRDefault="00B21349">
            <w:pPr>
              <w:widowControl/>
              <w:spacing w:line="320" w:lineRule="exact"/>
              <w:jc w:val="center"/>
              <w:rPr>
                <w:rFonts w:ascii="微软雅黑" w:eastAsia="微软雅黑" w:hAnsi="微软雅黑" w:cs="Arial"/>
                <w:kern w:val="0"/>
                <w:sz w:val="22"/>
              </w:rPr>
            </w:pPr>
            <w:r>
              <w:rPr>
                <w:rFonts w:ascii="微软雅黑" w:eastAsia="微软雅黑" w:hAnsi="微软雅黑" w:cs="Arial" w:hint="eastAsia"/>
                <w:color w:val="000000"/>
                <w:sz w:val="22"/>
              </w:rPr>
              <w:t>差距</w:t>
            </w:r>
            <w:r w:rsidR="0067006C">
              <w:rPr>
                <w:rFonts w:ascii="微软雅黑" w:eastAsia="微软雅黑" w:hAnsi="微软雅黑" w:cs="Arial" w:hint="eastAsia"/>
                <w:color w:val="000000"/>
                <w:sz w:val="22"/>
              </w:rPr>
              <w:t>分析</w:t>
            </w:r>
          </w:p>
        </w:tc>
        <w:tc>
          <w:tcPr>
            <w:tcW w:w="4331" w:type="dxa"/>
            <w:shd w:val="clear" w:color="auto" w:fill="FFFFFF" w:themeFill="background1"/>
          </w:tcPr>
          <w:p w14:paraId="5960B7E6" w14:textId="77777777" w:rsidR="00B21349" w:rsidRDefault="00B21349">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1、从市场结果到增长差距</w:t>
            </w:r>
          </w:p>
          <w:p w14:paraId="6E7BD3CF" w14:textId="77777777" w:rsidR="00B21349" w:rsidRDefault="00B21349">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2、业绩差距：经营结果与期望值的差距</w:t>
            </w:r>
          </w:p>
          <w:p w14:paraId="1F79A390" w14:textId="77777777" w:rsidR="00B21349" w:rsidRDefault="00B21349">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3、机会差距：把握战略机会与新的业务设计</w:t>
            </w:r>
          </w:p>
          <w:p w14:paraId="18848C6E" w14:textId="77777777" w:rsidR="00B21349" w:rsidRDefault="00B21349">
            <w:pPr>
              <w:widowControl/>
              <w:spacing w:line="320" w:lineRule="exact"/>
              <w:jc w:val="left"/>
              <w:rPr>
                <w:rFonts w:ascii="微软雅黑" w:eastAsia="微软雅黑" w:hAnsi="微软雅黑" w:cs="Arial"/>
                <w:kern w:val="0"/>
                <w:sz w:val="22"/>
              </w:rPr>
            </w:pPr>
            <w:r>
              <w:rPr>
                <w:rFonts w:ascii="微软雅黑" w:eastAsia="微软雅黑" w:hAnsi="微软雅黑" w:cs="Arial" w:hint="eastAsia"/>
                <w:color w:val="000000"/>
                <w:sz w:val="22"/>
              </w:rPr>
              <w:t>4、差距分析演练：MECE原则</w:t>
            </w:r>
          </w:p>
        </w:tc>
        <w:tc>
          <w:tcPr>
            <w:tcW w:w="2156" w:type="dxa"/>
            <w:shd w:val="clear" w:color="auto" w:fill="FFFFFF" w:themeFill="background1"/>
          </w:tcPr>
          <w:p w14:paraId="300C0585" w14:textId="77777777" w:rsidR="00B21349" w:rsidRDefault="00B21349">
            <w:pPr>
              <w:widowControl/>
              <w:spacing w:line="320" w:lineRule="exact"/>
              <w:jc w:val="left"/>
              <w:rPr>
                <w:rFonts w:ascii="微软雅黑" w:eastAsia="微软雅黑" w:hAnsi="微软雅黑" w:cs="Arial"/>
                <w:kern w:val="0"/>
                <w:sz w:val="22"/>
              </w:rPr>
            </w:pPr>
            <w:r>
              <w:rPr>
                <w:rFonts w:ascii="微软雅黑" w:eastAsia="微软雅黑" w:hAnsi="微软雅黑" w:cs="Arial" w:hint="eastAsia"/>
                <w:kern w:val="0"/>
                <w:sz w:val="22"/>
              </w:rPr>
              <w:t>《业务差距分析清单》</w:t>
            </w:r>
          </w:p>
        </w:tc>
      </w:tr>
      <w:tr w:rsidR="00B21349" w14:paraId="52AA3C07" w14:textId="77777777" w:rsidTr="007249E3">
        <w:trPr>
          <w:trHeight w:val="988"/>
        </w:trPr>
        <w:tc>
          <w:tcPr>
            <w:tcW w:w="2317" w:type="dxa"/>
            <w:shd w:val="clear" w:color="auto" w:fill="FFFFFF" w:themeFill="background1"/>
          </w:tcPr>
          <w:p w14:paraId="581C34C5" w14:textId="49177EE4" w:rsidR="00B21349" w:rsidRDefault="00B21349">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sidR="0067006C">
              <w:rPr>
                <w:rFonts w:ascii="微软雅黑" w:eastAsia="微软雅黑" w:hAnsi="微软雅黑" w:cs="Arial" w:hint="eastAsia"/>
                <w:color w:val="000000"/>
                <w:sz w:val="22"/>
              </w:rPr>
              <w:t>三</w:t>
            </w:r>
            <w:r>
              <w:rPr>
                <w:rFonts w:ascii="微软雅黑" w:eastAsia="微软雅黑" w:hAnsi="微软雅黑" w:cs="Arial" w:hint="eastAsia"/>
                <w:color w:val="000000"/>
                <w:sz w:val="22"/>
              </w:rPr>
              <w:t>章</w:t>
            </w:r>
          </w:p>
          <w:p w14:paraId="0F7A2616" w14:textId="7CA95B81" w:rsidR="00B21349" w:rsidRPr="00B009FD" w:rsidRDefault="00B21349" w:rsidP="00B009FD">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市场洞察</w:t>
            </w:r>
            <w:r w:rsidR="00B009FD">
              <w:rPr>
                <w:rFonts w:ascii="微软雅黑" w:eastAsia="微软雅黑" w:hAnsi="微软雅黑" w:cs="Arial" w:hint="eastAsia"/>
                <w:color w:val="000000"/>
                <w:sz w:val="22"/>
              </w:rPr>
              <w:t>（看宏观与行业）</w:t>
            </w:r>
          </w:p>
        </w:tc>
        <w:tc>
          <w:tcPr>
            <w:tcW w:w="4331" w:type="dxa"/>
            <w:shd w:val="clear" w:color="auto" w:fill="FFFFFF" w:themeFill="background1"/>
          </w:tcPr>
          <w:p w14:paraId="10AFA417" w14:textId="3D36B02A" w:rsidR="00655B92" w:rsidRPr="00655B92" w:rsidRDefault="00B21349" w:rsidP="00655B92">
            <w:pPr>
              <w:pStyle w:val="ab"/>
              <w:widowControl/>
              <w:numPr>
                <w:ilvl w:val="0"/>
                <w:numId w:val="13"/>
              </w:numPr>
              <w:spacing w:line="320" w:lineRule="exact"/>
              <w:ind w:firstLineChars="0"/>
              <w:jc w:val="left"/>
              <w:rPr>
                <w:rFonts w:ascii="微软雅黑" w:eastAsia="微软雅黑" w:hAnsi="微软雅黑" w:cs="Arial"/>
                <w:color w:val="000000"/>
                <w:sz w:val="22"/>
              </w:rPr>
            </w:pPr>
            <w:r w:rsidRPr="00655B92">
              <w:rPr>
                <w:rFonts w:ascii="微软雅黑" w:eastAsia="微软雅黑" w:hAnsi="微软雅黑" w:cs="Arial" w:hint="eastAsia"/>
                <w:color w:val="000000"/>
                <w:sz w:val="22"/>
              </w:rPr>
              <w:t>PESTEL分析</w:t>
            </w:r>
          </w:p>
          <w:p w14:paraId="5C13D9FB" w14:textId="36D6CD6A" w:rsidR="00B21349" w:rsidRPr="00655B92" w:rsidRDefault="00655B92" w:rsidP="00655B92">
            <w:pPr>
              <w:pStyle w:val="ab"/>
              <w:widowControl/>
              <w:numPr>
                <w:ilvl w:val="0"/>
                <w:numId w:val="13"/>
              </w:numPr>
              <w:spacing w:line="320" w:lineRule="exact"/>
              <w:ind w:firstLineChars="0"/>
              <w:jc w:val="left"/>
              <w:rPr>
                <w:rFonts w:ascii="微软雅黑" w:eastAsia="微软雅黑" w:hAnsi="微软雅黑" w:cs="Arial"/>
                <w:color w:val="000000"/>
                <w:sz w:val="22"/>
              </w:rPr>
            </w:pPr>
            <w:r>
              <w:rPr>
                <w:rFonts w:ascii="微软雅黑" w:eastAsia="微软雅黑" w:hAnsi="微软雅黑" w:cs="Arial" w:hint="eastAsia"/>
                <w:color w:val="000000"/>
                <w:sz w:val="22"/>
              </w:rPr>
              <w:t>产业链分析：</w:t>
            </w:r>
            <w:r w:rsidR="00B21349" w:rsidRPr="00655B92">
              <w:rPr>
                <w:rFonts w:ascii="微软雅黑" w:eastAsia="微软雅黑" w:hAnsi="微软雅黑" w:cs="Arial" w:hint="eastAsia"/>
                <w:color w:val="000000"/>
                <w:sz w:val="22"/>
              </w:rPr>
              <w:t>价值转移与行业趋势分析、识别利润区</w:t>
            </w:r>
          </w:p>
          <w:p w14:paraId="009E50AC" w14:textId="61A7D5F9" w:rsidR="00655B92" w:rsidRDefault="00655B92" w:rsidP="00655B92">
            <w:pPr>
              <w:widowControl/>
              <w:spacing w:line="320" w:lineRule="exact"/>
              <w:jc w:val="left"/>
              <w:rPr>
                <w:rFonts w:ascii="微软雅黑" w:eastAsia="微软雅黑" w:hAnsi="微软雅黑" w:cs="Arial"/>
                <w:kern w:val="0"/>
                <w:sz w:val="22"/>
              </w:rPr>
            </w:pPr>
          </w:p>
          <w:p w14:paraId="4216DFC1" w14:textId="1C0FBD86" w:rsidR="00B21349" w:rsidRDefault="00B21349">
            <w:pPr>
              <w:widowControl/>
              <w:spacing w:line="320" w:lineRule="exact"/>
              <w:jc w:val="left"/>
              <w:rPr>
                <w:rFonts w:ascii="微软雅黑" w:eastAsia="微软雅黑" w:hAnsi="微软雅黑" w:cs="Arial"/>
                <w:kern w:val="0"/>
                <w:sz w:val="22"/>
              </w:rPr>
            </w:pPr>
          </w:p>
        </w:tc>
        <w:tc>
          <w:tcPr>
            <w:tcW w:w="2156" w:type="dxa"/>
            <w:shd w:val="clear" w:color="auto" w:fill="FFFFFF" w:themeFill="background1"/>
          </w:tcPr>
          <w:p w14:paraId="3B7576A3" w14:textId="17D5FA97" w:rsidR="00B21349" w:rsidRDefault="00655B92">
            <w:pPr>
              <w:widowControl/>
              <w:spacing w:line="320" w:lineRule="exact"/>
              <w:jc w:val="left"/>
              <w:rPr>
                <w:rFonts w:ascii="微软雅黑" w:eastAsia="微软雅黑" w:hAnsi="微软雅黑" w:cs="Arial"/>
                <w:kern w:val="0"/>
                <w:sz w:val="22"/>
              </w:rPr>
            </w:pPr>
            <w:r>
              <w:rPr>
                <w:rFonts w:ascii="微软雅黑" w:eastAsia="微软雅黑" w:hAnsi="微软雅黑" w:cs="Arial" w:hint="eastAsia"/>
                <w:kern w:val="0"/>
                <w:sz w:val="22"/>
              </w:rPr>
              <w:t>《PESTEL分析表》</w:t>
            </w:r>
            <w:r w:rsidR="007249E3">
              <w:rPr>
                <w:rFonts w:ascii="微软雅黑" w:eastAsia="微软雅黑" w:hAnsi="微软雅黑" w:cs="Arial" w:hint="eastAsia"/>
                <w:kern w:val="0"/>
                <w:sz w:val="22"/>
              </w:rPr>
              <w:t>、</w:t>
            </w:r>
          </w:p>
          <w:p w14:paraId="0292BEB1" w14:textId="1C83134B" w:rsidR="00655B92" w:rsidRDefault="00655B92">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《产业链分析表》</w:t>
            </w:r>
          </w:p>
        </w:tc>
      </w:tr>
      <w:tr w:rsidR="0067006C" w14:paraId="5134C953" w14:textId="77777777" w:rsidTr="007249E3">
        <w:trPr>
          <w:trHeight w:val="988"/>
        </w:trPr>
        <w:tc>
          <w:tcPr>
            <w:tcW w:w="2317" w:type="dxa"/>
            <w:shd w:val="clear" w:color="auto" w:fill="FFFFFF" w:themeFill="background1"/>
          </w:tcPr>
          <w:p w14:paraId="07B8A902" w14:textId="10E42E4E" w:rsidR="00B009FD" w:rsidRDefault="00B009FD" w:rsidP="00B009FD">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Pr>
                <w:rFonts w:ascii="微软雅黑" w:eastAsia="微软雅黑" w:hAnsi="微软雅黑" w:cs="Arial" w:hint="eastAsia"/>
                <w:color w:val="000000"/>
                <w:sz w:val="22"/>
              </w:rPr>
              <w:t>四</w:t>
            </w:r>
            <w:r>
              <w:rPr>
                <w:rFonts w:ascii="微软雅黑" w:eastAsia="微软雅黑" w:hAnsi="微软雅黑" w:cs="Arial" w:hint="eastAsia"/>
                <w:color w:val="000000"/>
                <w:sz w:val="22"/>
              </w:rPr>
              <w:t>章</w:t>
            </w:r>
          </w:p>
          <w:p w14:paraId="5A538067" w14:textId="2BB0438D" w:rsidR="0067006C" w:rsidRDefault="00B009FD" w:rsidP="00B009FD">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市场洞察（看</w:t>
            </w:r>
            <w:r w:rsidR="00603743">
              <w:rPr>
                <w:rFonts w:ascii="微软雅黑" w:eastAsia="微软雅黑" w:hAnsi="微软雅黑" w:cs="Arial" w:hint="eastAsia"/>
                <w:color w:val="000000"/>
                <w:sz w:val="22"/>
              </w:rPr>
              <w:t>客户</w:t>
            </w:r>
            <w:r>
              <w:rPr>
                <w:rFonts w:ascii="微软雅黑" w:eastAsia="微软雅黑" w:hAnsi="微软雅黑" w:cs="Arial" w:hint="eastAsia"/>
                <w:color w:val="000000"/>
                <w:sz w:val="22"/>
              </w:rPr>
              <w:t>）</w:t>
            </w:r>
          </w:p>
        </w:tc>
        <w:tc>
          <w:tcPr>
            <w:tcW w:w="4331" w:type="dxa"/>
            <w:shd w:val="clear" w:color="auto" w:fill="FFFFFF" w:themeFill="background1"/>
          </w:tcPr>
          <w:p w14:paraId="2BD7277F" w14:textId="77777777" w:rsidR="0067006C" w:rsidRDefault="00655B92">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1：客户细分方法</w:t>
            </w:r>
          </w:p>
          <w:p w14:paraId="5071D5D8" w14:textId="751E7B39" w:rsidR="00655B92" w:rsidRDefault="00655B92">
            <w:pPr>
              <w:widowControl/>
              <w:spacing w:line="320" w:lineRule="exact"/>
              <w:jc w:val="left"/>
              <w:rPr>
                <w:rFonts w:ascii="微软雅黑" w:eastAsia="微软雅黑" w:hAnsi="微软雅黑" w:cs="Arial" w:hint="eastAsia"/>
                <w:color w:val="000000"/>
                <w:sz w:val="22"/>
              </w:rPr>
            </w:pPr>
            <w:r>
              <w:rPr>
                <w:rFonts w:ascii="微软雅黑" w:eastAsia="微软雅黑" w:hAnsi="微软雅黑" w:cs="Arial" w:hint="eastAsia"/>
                <w:color w:val="000000"/>
                <w:sz w:val="22"/>
              </w:rPr>
              <w:t>2：客户关键购买因素分析方法</w:t>
            </w:r>
          </w:p>
        </w:tc>
        <w:tc>
          <w:tcPr>
            <w:tcW w:w="2156" w:type="dxa"/>
            <w:shd w:val="clear" w:color="auto" w:fill="FFFFFF" w:themeFill="background1"/>
          </w:tcPr>
          <w:p w14:paraId="2BBD12E0" w14:textId="06FB2B35" w:rsidR="0067006C" w:rsidRDefault="00655B92">
            <w:pPr>
              <w:widowControl/>
              <w:spacing w:line="320" w:lineRule="exact"/>
              <w:jc w:val="left"/>
              <w:rPr>
                <w:rFonts w:ascii="微软雅黑" w:eastAsia="微软雅黑" w:hAnsi="微软雅黑" w:cs="Arial"/>
                <w:kern w:val="0"/>
                <w:sz w:val="22"/>
              </w:rPr>
            </w:pPr>
            <w:r>
              <w:rPr>
                <w:rFonts w:ascii="微软雅黑" w:eastAsia="微软雅黑" w:hAnsi="微软雅黑" w:cs="Arial" w:hint="eastAsia"/>
                <w:kern w:val="0"/>
                <w:sz w:val="22"/>
              </w:rPr>
              <w:t>《客户细分表》</w:t>
            </w:r>
            <w:r w:rsidR="007249E3">
              <w:rPr>
                <w:rFonts w:ascii="微软雅黑" w:eastAsia="微软雅黑" w:hAnsi="微软雅黑" w:cs="Arial" w:hint="eastAsia"/>
                <w:kern w:val="0"/>
                <w:sz w:val="22"/>
              </w:rPr>
              <w:t>、</w:t>
            </w:r>
          </w:p>
          <w:p w14:paraId="3A25A4EC" w14:textId="6352E269" w:rsidR="00655B92" w:rsidRDefault="00655B92">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《客户关键购买因素排序》</w:t>
            </w:r>
          </w:p>
        </w:tc>
      </w:tr>
      <w:tr w:rsidR="0067006C" w14:paraId="3EE140EE" w14:textId="77777777" w:rsidTr="007249E3">
        <w:trPr>
          <w:trHeight w:val="988"/>
        </w:trPr>
        <w:tc>
          <w:tcPr>
            <w:tcW w:w="2317" w:type="dxa"/>
            <w:shd w:val="clear" w:color="auto" w:fill="FFFFFF" w:themeFill="background1"/>
          </w:tcPr>
          <w:p w14:paraId="5841B10E" w14:textId="17EC4686" w:rsidR="00B009FD" w:rsidRDefault="00B009FD" w:rsidP="00B009FD">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sidR="00603743">
              <w:rPr>
                <w:rFonts w:ascii="微软雅黑" w:eastAsia="微软雅黑" w:hAnsi="微软雅黑" w:cs="Arial" w:hint="eastAsia"/>
                <w:color w:val="000000"/>
                <w:sz w:val="22"/>
              </w:rPr>
              <w:t>五</w:t>
            </w:r>
            <w:r>
              <w:rPr>
                <w:rFonts w:ascii="微软雅黑" w:eastAsia="微软雅黑" w:hAnsi="微软雅黑" w:cs="Arial" w:hint="eastAsia"/>
                <w:color w:val="000000"/>
                <w:sz w:val="22"/>
              </w:rPr>
              <w:t>章</w:t>
            </w:r>
          </w:p>
          <w:p w14:paraId="3DB34AE5" w14:textId="6D8DA118" w:rsidR="0067006C" w:rsidRDefault="00B009FD" w:rsidP="00B009FD">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市场洞察（看</w:t>
            </w:r>
            <w:r w:rsidR="00603743">
              <w:rPr>
                <w:rFonts w:ascii="微软雅黑" w:eastAsia="微软雅黑" w:hAnsi="微软雅黑" w:cs="Arial" w:hint="eastAsia"/>
                <w:color w:val="000000"/>
                <w:sz w:val="22"/>
              </w:rPr>
              <w:t>竞争</w:t>
            </w:r>
            <w:r>
              <w:rPr>
                <w:rFonts w:ascii="微软雅黑" w:eastAsia="微软雅黑" w:hAnsi="微软雅黑" w:cs="Arial" w:hint="eastAsia"/>
                <w:color w:val="000000"/>
                <w:sz w:val="22"/>
              </w:rPr>
              <w:t>）</w:t>
            </w:r>
          </w:p>
        </w:tc>
        <w:tc>
          <w:tcPr>
            <w:tcW w:w="4331" w:type="dxa"/>
            <w:shd w:val="clear" w:color="auto" w:fill="FFFFFF" w:themeFill="background1"/>
          </w:tcPr>
          <w:p w14:paraId="020B7811" w14:textId="77777777" w:rsidR="00BD182F" w:rsidRDefault="00655B92">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w:t>
            </w:r>
            <w:r w:rsidR="00BD182F">
              <w:rPr>
                <w:rFonts w:ascii="微软雅黑" w:eastAsia="微软雅黑" w:hAnsi="微软雅黑" w:cs="Arial" w:hint="eastAsia"/>
                <w:color w:val="000000"/>
                <w:sz w:val="22"/>
              </w:rPr>
              <w:t>竞争环境分析与超越竞争</w:t>
            </w:r>
          </w:p>
          <w:p w14:paraId="482C8BE1" w14:textId="4EA5A7B4" w:rsidR="0067006C" w:rsidRDefault="00BD182F">
            <w:pPr>
              <w:widowControl/>
              <w:spacing w:line="320" w:lineRule="exact"/>
              <w:jc w:val="left"/>
              <w:rPr>
                <w:rFonts w:ascii="微软雅黑" w:eastAsia="微软雅黑" w:hAnsi="微软雅黑" w:cs="Arial"/>
                <w:color w:val="000000"/>
                <w:sz w:val="22"/>
              </w:rPr>
            </w:pPr>
            <w:r>
              <w:rPr>
                <w:rFonts w:ascii="微软雅黑" w:eastAsia="微软雅黑" w:hAnsi="微软雅黑" w:cs="Arial"/>
                <w:color w:val="000000"/>
                <w:sz w:val="22"/>
              </w:rPr>
              <w:t>2</w:t>
            </w:r>
            <w:r>
              <w:rPr>
                <w:rFonts w:ascii="微软雅黑" w:eastAsia="微软雅黑" w:hAnsi="微软雅黑" w:cs="Arial" w:hint="eastAsia"/>
                <w:color w:val="000000"/>
                <w:sz w:val="22"/>
              </w:rPr>
              <w:t>：</w:t>
            </w:r>
            <w:r w:rsidR="00655B92">
              <w:rPr>
                <w:rFonts w:ascii="微软雅黑" w:eastAsia="微软雅黑" w:hAnsi="微软雅黑" w:cs="Arial" w:hint="eastAsia"/>
                <w:color w:val="000000"/>
                <w:sz w:val="22"/>
              </w:rPr>
              <w:t>标杆和竞争对手分析方法</w:t>
            </w:r>
          </w:p>
          <w:p w14:paraId="224D005F" w14:textId="16E90A63" w:rsidR="007249E3" w:rsidRDefault="00BD182F">
            <w:pPr>
              <w:widowControl/>
              <w:spacing w:line="320" w:lineRule="exact"/>
              <w:jc w:val="left"/>
              <w:rPr>
                <w:rFonts w:ascii="微软雅黑" w:eastAsia="微软雅黑" w:hAnsi="微软雅黑" w:cs="Arial" w:hint="eastAsia"/>
                <w:color w:val="000000"/>
                <w:sz w:val="22"/>
              </w:rPr>
            </w:pPr>
            <w:r>
              <w:rPr>
                <w:rFonts w:ascii="微软雅黑" w:eastAsia="微软雅黑" w:hAnsi="微软雅黑" w:cs="Arial" w:hint="eastAsia"/>
                <w:color w:val="000000"/>
                <w:sz w:val="22"/>
              </w:rPr>
              <w:t>3</w:t>
            </w:r>
            <w:r w:rsidR="00655B92">
              <w:rPr>
                <w:rFonts w:ascii="微软雅黑" w:eastAsia="微软雅黑" w:hAnsi="微软雅黑" w:cs="Arial" w:hint="eastAsia"/>
                <w:color w:val="000000"/>
                <w:sz w:val="22"/>
              </w:rPr>
              <w:t>：</w:t>
            </w:r>
            <w:r w:rsidR="007249E3">
              <w:rPr>
                <w:rFonts w:ascii="微软雅黑" w:eastAsia="微软雅黑" w:hAnsi="微软雅黑" w:cs="Arial" w:hint="eastAsia"/>
                <w:color w:val="000000"/>
                <w:sz w:val="22"/>
              </w:rPr>
              <w:t>行业</w:t>
            </w:r>
            <w:r w:rsidR="00655B92">
              <w:rPr>
                <w:rFonts w:ascii="微软雅黑" w:eastAsia="微软雅黑" w:hAnsi="微软雅黑" w:cs="Arial" w:hint="eastAsia"/>
                <w:color w:val="000000"/>
                <w:sz w:val="22"/>
              </w:rPr>
              <w:t>竞争</w:t>
            </w:r>
            <w:r w:rsidR="007249E3">
              <w:rPr>
                <w:rFonts w:ascii="微软雅黑" w:eastAsia="微软雅黑" w:hAnsi="微软雅黑" w:cs="Arial" w:hint="eastAsia"/>
                <w:color w:val="000000"/>
                <w:sz w:val="22"/>
              </w:rPr>
              <w:t>格局分析</w:t>
            </w:r>
          </w:p>
        </w:tc>
        <w:tc>
          <w:tcPr>
            <w:tcW w:w="2156" w:type="dxa"/>
            <w:shd w:val="clear" w:color="auto" w:fill="FFFFFF" w:themeFill="background1"/>
          </w:tcPr>
          <w:p w14:paraId="7F140A6F" w14:textId="6A41CF0A" w:rsidR="0067006C" w:rsidRDefault="007249E3">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《行业竞争方阵》、《敌我优劣分析图》、《战略产品竞争雷达图》</w:t>
            </w:r>
          </w:p>
        </w:tc>
      </w:tr>
      <w:tr w:rsidR="0067006C" w14:paraId="39EEA512" w14:textId="77777777" w:rsidTr="007249E3">
        <w:trPr>
          <w:trHeight w:val="988"/>
        </w:trPr>
        <w:tc>
          <w:tcPr>
            <w:tcW w:w="2317" w:type="dxa"/>
            <w:shd w:val="clear" w:color="auto" w:fill="FFFFFF" w:themeFill="background1"/>
          </w:tcPr>
          <w:p w14:paraId="0A112FB2" w14:textId="0981C338" w:rsidR="00603743" w:rsidRDefault="00603743" w:rsidP="00603743">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sidR="00BD182F">
              <w:rPr>
                <w:rFonts w:ascii="微软雅黑" w:eastAsia="微软雅黑" w:hAnsi="微软雅黑" w:cs="Arial" w:hint="eastAsia"/>
                <w:color w:val="000000"/>
                <w:sz w:val="22"/>
              </w:rPr>
              <w:t>六</w:t>
            </w:r>
            <w:r>
              <w:rPr>
                <w:rFonts w:ascii="微软雅黑" w:eastAsia="微软雅黑" w:hAnsi="微软雅黑" w:cs="Arial" w:hint="eastAsia"/>
                <w:color w:val="000000"/>
                <w:sz w:val="22"/>
              </w:rPr>
              <w:t>章</w:t>
            </w:r>
          </w:p>
          <w:p w14:paraId="67604982" w14:textId="5E4BE792" w:rsidR="0067006C" w:rsidRDefault="00603743" w:rsidP="00603743">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市场洞察（看</w:t>
            </w:r>
            <w:r>
              <w:rPr>
                <w:rFonts w:ascii="微软雅黑" w:eastAsia="微软雅黑" w:hAnsi="微软雅黑" w:cs="Arial" w:hint="eastAsia"/>
                <w:color w:val="000000"/>
                <w:sz w:val="22"/>
              </w:rPr>
              <w:t>自己</w:t>
            </w:r>
            <w:r>
              <w:rPr>
                <w:rFonts w:ascii="微软雅黑" w:eastAsia="微软雅黑" w:hAnsi="微软雅黑" w:cs="Arial" w:hint="eastAsia"/>
                <w:color w:val="000000"/>
                <w:sz w:val="22"/>
              </w:rPr>
              <w:t>）</w:t>
            </w:r>
          </w:p>
        </w:tc>
        <w:tc>
          <w:tcPr>
            <w:tcW w:w="4331" w:type="dxa"/>
            <w:shd w:val="clear" w:color="auto" w:fill="FFFFFF" w:themeFill="background1"/>
          </w:tcPr>
          <w:p w14:paraId="0345B504" w14:textId="74E7D21C" w:rsidR="0067006C" w:rsidRDefault="007249E3">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w:t>
            </w:r>
            <w:r w:rsidR="00BD182F">
              <w:rPr>
                <w:rFonts w:ascii="微软雅黑" w:eastAsia="微软雅黑" w:hAnsi="微软雅黑" w:cs="Arial" w:hint="eastAsia"/>
                <w:color w:val="000000"/>
                <w:sz w:val="22"/>
              </w:rPr>
              <w:t>内部</w:t>
            </w:r>
            <w:r>
              <w:rPr>
                <w:rFonts w:ascii="微软雅黑" w:eastAsia="微软雅黑" w:hAnsi="微软雅黑" w:cs="Arial" w:hint="eastAsia"/>
                <w:color w:val="000000"/>
                <w:sz w:val="22"/>
              </w:rPr>
              <w:t>资源与能力分析</w:t>
            </w:r>
          </w:p>
          <w:p w14:paraId="73F0F2F0" w14:textId="7C745FE6" w:rsidR="007249E3" w:rsidRDefault="007249E3">
            <w:pPr>
              <w:widowControl/>
              <w:spacing w:line="320" w:lineRule="exact"/>
              <w:jc w:val="left"/>
              <w:rPr>
                <w:rFonts w:ascii="微软雅黑" w:eastAsia="微软雅黑" w:hAnsi="微软雅黑" w:cs="Arial" w:hint="eastAsia"/>
                <w:color w:val="000000"/>
                <w:sz w:val="22"/>
              </w:rPr>
            </w:pPr>
            <w:r>
              <w:rPr>
                <w:rFonts w:ascii="微软雅黑" w:eastAsia="微软雅黑" w:hAnsi="微软雅黑" w:cs="Arial" w:hint="eastAsia"/>
                <w:color w:val="000000"/>
                <w:sz w:val="22"/>
              </w:rPr>
              <w:t>2：</w:t>
            </w:r>
            <w:r w:rsidR="00BD182F">
              <w:rPr>
                <w:rFonts w:ascii="微软雅黑" w:eastAsia="微软雅黑" w:hAnsi="微软雅黑" w:cs="Arial" w:hint="eastAsia"/>
                <w:color w:val="000000"/>
                <w:sz w:val="22"/>
              </w:rPr>
              <w:t>内部</w:t>
            </w:r>
            <w:r>
              <w:rPr>
                <w:rFonts w:ascii="微软雅黑" w:eastAsia="微软雅黑" w:hAnsi="微软雅黑" w:cs="Arial" w:hint="eastAsia"/>
                <w:color w:val="000000"/>
                <w:sz w:val="22"/>
              </w:rPr>
              <w:t>优劣势分析</w:t>
            </w:r>
          </w:p>
        </w:tc>
        <w:tc>
          <w:tcPr>
            <w:tcW w:w="2156" w:type="dxa"/>
            <w:shd w:val="clear" w:color="auto" w:fill="FFFFFF" w:themeFill="background1"/>
          </w:tcPr>
          <w:p w14:paraId="7DA4E4E8" w14:textId="7BA8A179" w:rsidR="0067006C" w:rsidRDefault="007249E3">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w:t>
            </w:r>
            <w:r w:rsidR="00BD182F">
              <w:rPr>
                <w:rFonts w:ascii="微软雅黑" w:eastAsia="微软雅黑" w:hAnsi="微软雅黑" w:cs="Arial" w:hint="eastAsia"/>
                <w:kern w:val="0"/>
                <w:sz w:val="22"/>
              </w:rPr>
              <w:t>内部</w:t>
            </w:r>
            <w:r>
              <w:rPr>
                <w:rFonts w:ascii="微软雅黑" w:eastAsia="微软雅黑" w:hAnsi="微软雅黑" w:cs="Arial" w:hint="eastAsia"/>
                <w:kern w:val="0"/>
                <w:sz w:val="22"/>
              </w:rPr>
              <w:t>优劣势分析表单》</w:t>
            </w:r>
          </w:p>
        </w:tc>
      </w:tr>
      <w:tr w:rsidR="0067006C" w14:paraId="12EF2ED1" w14:textId="77777777" w:rsidTr="007249E3">
        <w:trPr>
          <w:trHeight w:val="988"/>
        </w:trPr>
        <w:tc>
          <w:tcPr>
            <w:tcW w:w="2317" w:type="dxa"/>
            <w:shd w:val="clear" w:color="auto" w:fill="FFFFFF" w:themeFill="background1"/>
          </w:tcPr>
          <w:p w14:paraId="77558ED1" w14:textId="6EB01A24" w:rsidR="00603743" w:rsidRDefault="00603743" w:rsidP="00603743">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t>第</w:t>
            </w:r>
            <w:r w:rsidR="00BD182F">
              <w:rPr>
                <w:rFonts w:ascii="微软雅黑" w:eastAsia="微软雅黑" w:hAnsi="微软雅黑" w:cs="Arial" w:hint="eastAsia"/>
                <w:color w:val="000000"/>
                <w:sz w:val="22"/>
              </w:rPr>
              <w:t>七</w:t>
            </w:r>
            <w:r>
              <w:rPr>
                <w:rFonts w:ascii="微软雅黑" w:eastAsia="微软雅黑" w:hAnsi="微软雅黑" w:cs="Arial" w:hint="eastAsia"/>
                <w:color w:val="000000"/>
                <w:sz w:val="22"/>
              </w:rPr>
              <w:t>章</w:t>
            </w:r>
          </w:p>
          <w:p w14:paraId="35D25621" w14:textId="1C0A78B8" w:rsidR="0067006C" w:rsidRDefault="00603743" w:rsidP="00603743">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市场洞察（看</w:t>
            </w:r>
            <w:r>
              <w:rPr>
                <w:rFonts w:ascii="微软雅黑" w:eastAsia="微软雅黑" w:hAnsi="微软雅黑" w:cs="Arial" w:hint="eastAsia"/>
                <w:color w:val="000000"/>
                <w:sz w:val="22"/>
              </w:rPr>
              <w:t>机会点</w:t>
            </w:r>
            <w:r>
              <w:rPr>
                <w:rFonts w:ascii="微软雅黑" w:eastAsia="微软雅黑" w:hAnsi="微软雅黑" w:cs="Arial" w:hint="eastAsia"/>
                <w:color w:val="000000"/>
                <w:sz w:val="22"/>
              </w:rPr>
              <w:t>）</w:t>
            </w:r>
          </w:p>
        </w:tc>
        <w:tc>
          <w:tcPr>
            <w:tcW w:w="4331" w:type="dxa"/>
            <w:shd w:val="clear" w:color="auto" w:fill="FFFFFF" w:themeFill="background1"/>
          </w:tcPr>
          <w:p w14:paraId="26DD1822" w14:textId="62B15E6F" w:rsidR="0067006C" w:rsidRDefault="00BD182F" w:rsidP="00655B92">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1：梳理</w:t>
            </w:r>
            <w:r w:rsidR="00655B92">
              <w:rPr>
                <w:rFonts w:ascii="微软雅黑" w:eastAsia="微软雅黑" w:hAnsi="微软雅黑" w:cs="Arial" w:hint="eastAsia"/>
                <w:color w:val="000000"/>
                <w:sz w:val="22"/>
              </w:rPr>
              <w:t>战略机会点、机会窗口</w:t>
            </w:r>
          </w:p>
          <w:p w14:paraId="66CB9793" w14:textId="77777777" w:rsidR="00BD182F" w:rsidRDefault="00BD182F" w:rsidP="00655B92">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2：</w:t>
            </w:r>
            <w:r>
              <w:rPr>
                <w:rFonts w:ascii="微软雅黑" w:eastAsia="微软雅黑" w:hAnsi="微软雅黑" w:cs="Arial"/>
                <w:color w:val="000000"/>
                <w:sz w:val="22"/>
              </w:rPr>
              <w:t>SWOT</w:t>
            </w:r>
            <w:r>
              <w:rPr>
                <w:rFonts w:ascii="微软雅黑" w:eastAsia="微软雅黑" w:hAnsi="微软雅黑" w:cs="Arial" w:hint="eastAsia"/>
                <w:color w:val="000000"/>
                <w:sz w:val="22"/>
              </w:rPr>
              <w:t>分析</w:t>
            </w:r>
          </w:p>
          <w:p w14:paraId="613EEF73" w14:textId="46A672CB" w:rsidR="005F722A" w:rsidRDefault="005F722A" w:rsidP="00655B92">
            <w:pPr>
              <w:widowControl/>
              <w:spacing w:line="320" w:lineRule="exact"/>
              <w:jc w:val="left"/>
              <w:rPr>
                <w:rFonts w:ascii="微软雅黑" w:eastAsia="微软雅黑" w:hAnsi="微软雅黑" w:cs="Arial" w:hint="eastAsia"/>
                <w:color w:val="000000"/>
                <w:sz w:val="22"/>
              </w:rPr>
            </w:pPr>
            <w:r>
              <w:rPr>
                <w:rFonts w:ascii="微软雅黑" w:eastAsia="微软雅黑" w:hAnsi="微软雅黑" w:cs="Arial" w:hint="eastAsia"/>
                <w:color w:val="000000"/>
                <w:sz w:val="22"/>
              </w:rPr>
              <w:t>3：SPAN分析</w:t>
            </w:r>
          </w:p>
        </w:tc>
        <w:tc>
          <w:tcPr>
            <w:tcW w:w="2156" w:type="dxa"/>
            <w:shd w:val="clear" w:color="auto" w:fill="FFFFFF" w:themeFill="background1"/>
          </w:tcPr>
          <w:p w14:paraId="46750936" w14:textId="439C9522" w:rsidR="0067006C" w:rsidRDefault="00BD182F">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《机会点汇总表</w:t>
            </w:r>
            <w:r w:rsidR="00655B92">
              <w:rPr>
                <w:rFonts w:ascii="微软雅黑" w:eastAsia="微软雅黑" w:hAnsi="微软雅黑" w:cs="Arial" w:hint="eastAsia"/>
                <w:kern w:val="0"/>
                <w:sz w:val="22"/>
              </w:rPr>
              <w:t>》、</w:t>
            </w:r>
            <w:r>
              <w:rPr>
                <w:rFonts w:ascii="微软雅黑" w:eastAsia="微软雅黑" w:hAnsi="微软雅黑" w:cs="Arial" w:hint="eastAsia"/>
                <w:kern w:val="0"/>
                <w:sz w:val="22"/>
              </w:rPr>
              <w:t>《SWOT分析表》</w:t>
            </w:r>
            <w:r w:rsidR="005F722A">
              <w:rPr>
                <w:rFonts w:ascii="微软雅黑" w:eastAsia="微软雅黑" w:hAnsi="微软雅黑" w:cs="Arial" w:hint="eastAsia"/>
                <w:kern w:val="0"/>
                <w:sz w:val="22"/>
              </w:rPr>
              <w:t>、</w:t>
            </w:r>
            <w:r w:rsidR="005F722A">
              <w:rPr>
                <w:rFonts w:ascii="微软雅黑" w:eastAsia="微软雅黑" w:hAnsi="微软雅黑" w:cs="Arial" w:hint="eastAsia"/>
                <w:kern w:val="0"/>
                <w:sz w:val="22"/>
              </w:rPr>
              <w:t>《SPAN分析工具》</w:t>
            </w:r>
          </w:p>
        </w:tc>
      </w:tr>
      <w:tr w:rsidR="00BD182F" w:rsidRPr="008E6CCB" w14:paraId="1A8E8EE6" w14:textId="77777777" w:rsidTr="007249E3">
        <w:trPr>
          <w:trHeight w:val="988"/>
        </w:trPr>
        <w:tc>
          <w:tcPr>
            <w:tcW w:w="2317" w:type="dxa"/>
            <w:shd w:val="clear" w:color="auto" w:fill="FFFFFF" w:themeFill="background1"/>
          </w:tcPr>
          <w:p w14:paraId="12B7DF0E" w14:textId="77777777" w:rsidR="00BD182F" w:rsidRDefault="005F722A" w:rsidP="00603743">
            <w:pPr>
              <w:widowControl/>
              <w:spacing w:line="320" w:lineRule="exact"/>
              <w:jc w:val="center"/>
              <w:rPr>
                <w:rFonts w:ascii="微软雅黑" w:eastAsia="微软雅黑" w:hAnsi="微软雅黑" w:cs="Arial"/>
                <w:color w:val="000000"/>
                <w:sz w:val="22"/>
              </w:rPr>
            </w:pPr>
            <w:r>
              <w:rPr>
                <w:rFonts w:ascii="微软雅黑" w:eastAsia="微软雅黑" w:hAnsi="微软雅黑" w:cs="Arial" w:hint="eastAsia"/>
                <w:color w:val="000000"/>
                <w:sz w:val="22"/>
              </w:rPr>
              <w:lastRenderedPageBreak/>
              <w:t>第八章</w:t>
            </w:r>
          </w:p>
          <w:p w14:paraId="55D474C0" w14:textId="318BFE8E" w:rsidR="005F722A" w:rsidRDefault="005F722A" w:rsidP="00603743">
            <w:pPr>
              <w:widowControl/>
              <w:spacing w:line="320" w:lineRule="exact"/>
              <w:jc w:val="center"/>
              <w:rPr>
                <w:rFonts w:ascii="微软雅黑" w:eastAsia="微软雅黑" w:hAnsi="微软雅黑" w:cs="Arial" w:hint="eastAsia"/>
                <w:color w:val="000000"/>
                <w:sz w:val="22"/>
              </w:rPr>
            </w:pPr>
            <w:r>
              <w:rPr>
                <w:rFonts w:ascii="微软雅黑" w:eastAsia="微软雅黑" w:hAnsi="微软雅黑" w:cs="Arial" w:hint="eastAsia"/>
                <w:color w:val="000000"/>
                <w:sz w:val="22"/>
              </w:rPr>
              <w:t>三定（定控制点、定目标、定策略）</w:t>
            </w:r>
          </w:p>
        </w:tc>
        <w:tc>
          <w:tcPr>
            <w:tcW w:w="4331" w:type="dxa"/>
            <w:shd w:val="clear" w:color="auto" w:fill="FFFFFF" w:themeFill="background1"/>
          </w:tcPr>
          <w:p w14:paraId="50DAEF27" w14:textId="4AEEA268" w:rsidR="005F722A" w:rsidRDefault="005F722A" w:rsidP="00655B92">
            <w:pPr>
              <w:widowControl/>
              <w:spacing w:line="320" w:lineRule="exact"/>
              <w:jc w:val="left"/>
              <w:rPr>
                <w:rFonts w:ascii="微软雅黑" w:eastAsia="微软雅黑" w:hAnsi="微软雅黑" w:cs="Arial"/>
                <w:color w:val="000000"/>
                <w:sz w:val="22"/>
              </w:rPr>
            </w:pPr>
            <w:r>
              <w:rPr>
                <w:rFonts w:ascii="微软雅黑" w:eastAsia="微软雅黑" w:hAnsi="微软雅黑" w:cs="Arial" w:hint="eastAsia"/>
                <w:color w:val="000000"/>
                <w:sz w:val="22"/>
              </w:rPr>
              <w:t>1：定</w:t>
            </w:r>
            <w:r w:rsidR="008E6CCB">
              <w:rPr>
                <w:rFonts w:ascii="微软雅黑" w:eastAsia="微软雅黑" w:hAnsi="微软雅黑" w:cs="Arial" w:hint="eastAsia"/>
                <w:color w:val="000000"/>
                <w:sz w:val="22"/>
              </w:rPr>
              <w:t>控制点、定目标、定策略</w:t>
            </w:r>
          </w:p>
          <w:p w14:paraId="528FD725" w14:textId="2C95DAEB" w:rsidR="00BD182F" w:rsidRDefault="005F722A" w:rsidP="00655B92">
            <w:pPr>
              <w:widowControl/>
              <w:spacing w:line="320" w:lineRule="exact"/>
              <w:jc w:val="left"/>
              <w:rPr>
                <w:rFonts w:ascii="微软雅黑" w:eastAsia="微软雅黑" w:hAnsi="微软雅黑" w:cs="Arial" w:hint="eastAsia"/>
                <w:color w:val="000000"/>
                <w:sz w:val="22"/>
              </w:rPr>
            </w:pPr>
            <w:r>
              <w:rPr>
                <w:rFonts w:ascii="微软雅黑" w:eastAsia="微软雅黑" w:hAnsi="微软雅黑" w:cs="Arial" w:hint="eastAsia"/>
                <w:color w:val="000000"/>
                <w:sz w:val="22"/>
              </w:rPr>
              <w:t>2：必赢之</w:t>
            </w:r>
            <w:proofErr w:type="gramStart"/>
            <w:r>
              <w:rPr>
                <w:rFonts w:ascii="微软雅黑" w:eastAsia="微软雅黑" w:hAnsi="微软雅黑" w:cs="Arial" w:hint="eastAsia"/>
                <w:color w:val="000000"/>
                <w:sz w:val="22"/>
              </w:rPr>
              <w:t>仗确定</w:t>
            </w:r>
            <w:proofErr w:type="gramEnd"/>
            <w:r>
              <w:rPr>
                <w:rFonts w:ascii="微软雅黑" w:eastAsia="微软雅黑" w:hAnsi="微软雅黑" w:cs="Arial" w:hint="eastAsia"/>
                <w:color w:val="000000"/>
                <w:sz w:val="22"/>
              </w:rPr>
              <w:t>方法</w:t>
            </w:r>
          </w:p>
        </w:tc>
        <w:tc>
          <w:tcPr>
            <w:tcW w:w="2156" w:type="dxa"/>
            <w:shd w:val="clear" w:color="auto" w:fill="FFFFFF" w:themeFill="background1"/>
          </w:tcPr>
          <w:p w14:paraId="733D87C5" w14:textId="124FBED0" w:rsidR="00BD182F" w:rsidRDefault="008E6CCB">
            <w:pPr>
              <w:widowControl/>
              <w:spacing w:line="320" w:lineRule="exact"/>
              <w:jc w:val="left"/>
              <w:rPr>
                <w:rFonts w:ascii="微软雅黑" w:eastAsia="微软雅黑" w:hAnsi="微软雅黑" w:cs="Arial" w:hint="eastAsia"/>
                <w:kern w:val="0"/>
                <w:sz w:val="22"/>
              </w:rPr>
            </w:pPr>
            <w:r>
              <w:rPr>
                <w:rFonts w:ascii="微软雅黑" w:eastAsia="微软雅黑" w:hAnsi="微软雅黑" w:cs="Arial" w:hint="eastAsia"/>
                <w:kern w:val="0"/>
                <w:sz w:val="22"/>
              </w:rPr>
              <w:t>《三年关键举措表单》、《今年必赢之仗确认表单》</w:t>
            </w:r>
          </w:p>
        </w:tc>
      </w:tr>
    </w:tbl>
    <w:p w14:paraId="09ABC103" w14:textId="77777777" w:rsidR="00A67855" w:rsidRDefault="00A67855">
      <w:pPr>
        <w:spacing w:line="440" w:lineRule="exact"/>
        <w:rPr>
          <w:rFonts w:ascii="微软雅黑" w:eastAsia="微软雅黑" w:hAnsi="微软雅黑"/>
          <w:sz w:val="24"/>
          <w:szCs w:val="24"/>
        </w:rPr>
      </w:pPr>
    </w:p>
    <w:sectPr w:rsidR="00A67855">
      <w:pgSz w:w="11906" w:h="16838"/>
      <w:pgMar w:top="851"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35C07" w14:textId="77777777" w:rsidR="00237362" w:rsidRDefault="00237362" w:rsidP="006B2E84">
      <w:r>
        <w:separator/>
      </w:r>
    </w:p>
  </w:endnote>
  <w:endnote w:type="continuationSeparator" w:id="0">
    <w:p w14:paraId="64B4B3E1" w14:textId="77777777" w:rsidR="00237362" w:rsidRDefault="00237362" w:rsidP="006B2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CB033" w14:textId="77777777" w:rsidR="00237362" w:rsidRDefault="00237362" w:rsidP="006B2E84">
      <w:r>
        <w:separator/>
      </w:r>
    </w:p>
  </w:footnote>
  <w:footnote w:type="continuationSeparator" w:id="0">
    <w:p w14:paraId="559900FF" w14:textId="77777777" w:rsidR="00237362" w:rsidRDefault="00237362" w:rsidP="006B2E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067BB"/>
    <w:multiLevelType w:val="multilevel"/>
    <w:tmpl w:val="1D3067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1DEA6245"/>
    <w:multiLevelType w:val="multilevel"/>
    <w:tmpl w:val="1DEA624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E25216F"/>
    <w:multiLevelType w:val="multilevel"/>
    <w:tmpl w:val="C952C9E4"/>
    <w:lvl w:ilvl="0">
      <w:start w:val="1"/>
      <w:numFmt w:val="bullet"/>
      <w:lvlText w:val=""/>
      <w:lvlJc w:val="left"/>
      <w:pPr>
        <w:ind w:left="988"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3" w15:restartNumberingAfterBreak="0">
    <w:nsid w:val="29345B8B"/>
    <w:multiLevelType w:val="multilevel"/>
    <w:tmpl w:val="29345B8B"/>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 w15:restartNumberingAfterBreak="0">
    <w:nsid w:val="339E7486"/>
    <w:multiLevelType w:val="hybridMultilevel"/>
    <w:tmpl w:val="E61ED216"/>
    <w:lvl w:ilvl="0" w:tplc="AB6611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74043C6"/>
    <w:multiLevelType w:val="multilevel"/>
    <w:tmpl w:val="374043C6"/>
    <w:lvl w:ilvl="0">
      <w:start w:val="1"/>
      <w:numFmt w:val="bullet"/>
      <w:lvlText w:val=""/>
      <w:lvlJc w:val="left"/>
      <w:pPr>
        <w:ind w:left="1470" w:hanging="420"/>
      </w:pPr>
      <w:rPr>
        <w:rFonts w:ascii="Wingdings" w:hAnsi="Wingdings" w:hint="default"/>
      </w:rPr>
    </w:lvl>
    <w:lvl w:ilvl="1">
      <w:start w:val="1"/>
      <w:numFmt w:val="bullet"/>
      <w:lvlText w:val=""/>
      <w:lvlJc w:val="left"/>
      <w:pPr>
        <w:ind w:left="1890" w:hanging="420"/>
      </w:pPr>
      <w:rPr>
        <w:rFonts w:ascii="Wingdings" w:hAnsi="Wingdings" w:hint="default"/>
      </w:rPr>
    </w:lvl>
    <w:lvl w:ilvl="2">
      <w:start w:val="1"/>
      <w:numFmt w:val="bullet"/>
      <w:lvlText w:val=""/>
      <w:lvlJc w:val="left"/>
      <w:pPr>
        <w:ind w:left="2310" w:hanging="420"/>
      </w:pPr>
      <w:rPr>
        <w:rFonts w:ascii="Wingdings" w:hAnsi="Wingdings" w:hint="default"/>
      </w:rPr>
    </w:lvl>
    <w:lvl w:ilvl="3">
      <w:start w:val="1"/>
      <w:numFmt w:val="bullet"/>
      <w:lvlText w:val=""/>
      <w:lvlJc w:val="left"/>
      <w:pPr>
        <w:ind w:left="2730" w:hanging="420"/>
      </w:pPr>
      <w:rPr>
        <w:rFonts w:ascii="Wingdings" w:hAnsi="Wingdings" w:hint="default"/>
      </w:rPr>
    </w:lvl>
    <w:lvl w:ilvl="4">
      <w:start w:val="1"/>
      <w:numFmt w:val="bullet"/>
      <w:lvlText w:val=""/>
      <w:lvlJc w:val="left"/>
      <w:pPr>
        <w:ind w:left="3150" w:hanging="420"/>
      </w:pPr>
      <w:rPr>
        <w:rFonts w:ascii="Wingdings" w:hAnsi="Wingdings" w:hint="default"/>
      </w:rPr>
    </w:lvl>
    <w:lvl w:ilvl="5">
      <w:start w:val="1"/>
      <w:numFmt w:val="bullet"/>
      <w:lvlText w:val=""/>
      <w:lvlJc w:val="left"/>
      <w:pPr>
        <w:ind w:left="3570" w:hanging="420"/>
      </w:pPr>
      <w:rPr>
        <w:rFonts w:ascii="Wingdings" w:hAnsi="Wingdings" w:hint="default"/>
      </w:rPr>
    </w:lvl>
    <w:lvl w:ilvl="6">
      <w:start w:val="1"/>
      <w:numFmt w:val="bullet"/>
      <w:lvlText w:val=""/>
      <w:lvlJc w:val="left"/>
      <w:pPr>
        <w:ind w:left="3990" w:hanging="420"/>
      </w:pPr>
      <w:rPr>
        <w:rFonts w:ascii="Wingdings" w:hAnsi="Wingdings" w:hint="default"/>
      </w:rPr>
    </w:lvl>
    <w:lvl w:ilvl="7">
      <w:start w:val="1"/>
      <w:numFmt w:val="bullet"/>
      <w:lvlText w:val=""/>
      <w:lvlJc w:val="left"/>
      <w:pPr>
        <w:ind w:left="4410" w:hanging="420"/>
      </w:pPr>
      <w:rPr>
        <w:rFonts w:ascii="Wingdings" w:hAnsi="Wingdings" w:hint="default"/>
      </w:rPr>
    </w:lvl>
    <w:lvl w:ilvl="8">
      <w:start w:val="1"/>
      <w:numFmt w:val="bullet"/>
      <w:lvlText w:val=""/>
      <w:lvlJc w:val="left"/>
      <w:pPr>
        <w:ind w:left="4830" w:hanging="420"/>
      </w:pPr>
      <w:rPr>
        <w:rFonts w:ascii="Wingdings" w:hAnsi="Wingdings" w:hint="default"/>
      </w:rPr>
    </w:lvl>
  </w:abstractNum>
  <w:abstractNum w:abstractNumId="6" w15:restartNumberingAfterBreak="0">
    <w:nsid w:val="37613FED"/>
    <w:multiLevelType w:val="multilevel"/>
    <w:tmpl w:val="37613FE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1329D0"/>
    <w:multiLevelType w:val="multilevel"/>
    <w:tmpl w:val="3A1329D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15:restartNumberingAfterBreak="0">
    <w:nsid w:val="4ACA7691"/>
    <w:multiLevelType w:val="multilevel"/>
    <w:tmpl w:val="4ACA7691"/>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9" w15:restartNumberingAfterBreak="0">
    <w:nsid w:val="54CE284D"/>
    <w:multiLevelType w:val="multilevel"/>
    <w:tmpl w:val="54CE284D"/>
    <w:lvl w:ilvl="0">
      <w:start w:val="1"/>
      <w:numFmt w:val="bullet"/>
      <w:lvlText w:val=""/>
      <w:lvlJc w:val="left"/>
      <w:pPr>
        <w:ind w:left="630" w:hanging="420"/>
      </w:pPr>
      <w:rPr>
        <w:rFonts w:ascii="Wingdings" w:hAnsi="Wingdings" w:hint="default"/>
      </w:rPr>
    </w:lvl>
    <w:lvl w:ilvl="1">
      <w:start w:val="1"/>
      <w:numFmt w:val="bullet"/>
      <w:lvlText w:val=""/>
      <w:lvlJc w:val="left"/>
      <w:pPr>
        <w:ind w:left="1050" w:hanging="420"/>
      </w:pPr>
      <w:rPr>
        <w:rFonts w:ascii="Wingdings" w:hAnsi="Wingdings" w:hint="default"/>
      </w:rPr>
    </w:lvl>
    <w:lvl w:ilvl="2">
      <w:start w:val="1"/>
      <w:numFmt w:val="bullet"/>
      <w:lvlText w:val=""/>
      <w:lvlJc w:val="left"/>
      <w:pPr>
        <w:ind w:left="1470" w:hanging="420"/>
      </w:pPr>
      <w:rPr>
        <w:rFonts w:ascii="Wingdings" w:hAnsi="Wingdings" w:hint="default"/>
      </w:rPr>
    </w:lvl>
    <w:lvl w:ilvl="3">
      <w:start w:val="1"/>
      <w:numFmt w:val="bullet"/>
      <w:lvlText w:val=""/>
      <w:lvlJc w:val="left"/>
      <w:pPr>
        <w:ind w:left="1890" w:hanging="420"/>
      </w:pPr>
      <w:rPr>
        <w:rFonts w:ascii="Wingdings" w:hAnsi="Wingdings" w:hint="default"/>
      </w:rPr>
    </w:lvl>
    <w:lvl w:ilvl="4">
      <w:start w:val="1"/>
      <w:numFmt w:val="bullet"/>
      <w:lvlText w:val=""/>
      <w:lvlJc w:val="left"/>
      <w:pPr>
        <w:ind w:left="2310" w:hanging="420"/>
      </w:pPr>
      <w:rPr>
        <w:rFonts w:ascii="Wingdings" w:hAnsi="Wingdings" w:hint="default"/>
      </w:rPr>
    </w:lvl>
    <w:lvl w:ilvl="5">
      <w:start w:val="1"/>
      <w:numFmt w:val="bullet"/>
      <w:lvlText w:val=""/>
      <w:lvlJc w:val="left"/>
      <w:pPr>
        <w:ind w:left="2730" w:hanging="420"/>
      </w:pPr>
      <w:rPr>
        <w:rFonts w:ascii="Wingdings" w:hAnsi="Wingdings" w:hint="default"/>
      </w:rPr>
    </w:lvl>
    <w:lvl w:ilvl="6">
      <w:start w:val="1"/>
      <w:numFmt w:val="bullet"/>
      <w:lvlText w:val=""/>
      <w:lvlJc w:val="left"/>
      <w:pPr>
        <w:ind w:left="3150" w:hanging="420"/>
      </w:pPr>
      <w:rPr>
        <w:rFonts w:ascii="Wingdings" w:hAnsi="Wingdings" w:hint="default"/>
      </w:rPr>
    </w:lvl>
    <w:lvl w:ilvl="7">
      <w:start w:val="1"/>
      <w:numFmt w:val="bullet"/>
      <w:lvlText w:val=""/>
      <w:lvlJc w:val="left"/>
      <w:pPr>
        <w:ind w:left="3570" w:hanging="420"/>
      </w:pPr>
      <w:rPr>
        <w:rFonts w:ascii="Wingdings" w:hAnsi="Wingdings" w:hint="default"/>
      </w:rPr>
    </w:lvl>
    <w:lvl w:ilvl="8">
      <w:start w:val="1"/>
      <w:numFmt w:val="bullet"/>
      <w:lvlText w:val=""/>
      <w:lvlJc w:val="left"/>
      <w:pPr>
        <w:ind w:left="3990" w:hanging="420"/>
      </w:pPr>
      <w:rPr>
        <w:rFonts w:ascii="Wingdings" w:hAnsi="Wingdings" w:hint="default"/>
      </w:rPr>
    </w:lvl>
  </w:abstractNum>
  <w:abstractNum w:abstractNumId="10" w15:restartNumberingAfterBreak="0">
    <w:nsid w:val="5B9C48B6"/>
    <w:multiLevelType w:val="hybridMultilevel"/>
    <w:tmpl w:val="7F488A3C"/>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75A627BC"/>
    <w:multiLevelType w:val="multilevel"/>
    <w:tmpl w:val="75A627BC"/>
    <w:lvl w:ilvl="0">
      <w:start w:val="1"/>
      <w:numFmt w:val="bullet"/>
      <w:lvlText w:val=""/>
      <w:lvlJc w:val="left"/>
      <w:pPr>
        <w:ind w:left="2100" w:hanging="420"/>
      </w:pPr>
      <w:rPr>
        <w:rFonts w:ascii="Wingdings" w:hAnsi="Wingdings" w:hint="default"/>
      </w:rPr>
    </w:lvl>
    <w:lvl w:ilvl="1">
      <w:start w:val="1"/>
      <w:numFmt w:val="bullet"/>
      <w:lvlText w:val=""/>
      <w:lvlJc w:val="left"/>
      <w:pPr>
        <w:ind w:left="2520" w:hanging="420"/>
      </w:pPr>
      <w:rPr>
        <w:rFonts w:ascii="Wingdings" w:hAnsi="Wingdings" w:hint="default"/>
      </w:rPr>
    </w:lvl>
    <w:lvl w:ilvl="2">
      <w:start w:val="1"/>
      <w:numFmt w:val="bullet"/>
      <w:lvlText w:val=""/>
      <w:lvlJc w:val="left"/>
      <w:pPr>
        <w:ind w:left="2940" w:hanging="420"/>
      </w:pPr>
      <w:rPr>
        <w:rFonts w:ascii="Wingdings" w:hAnsi="Wingdings" w:hint="default"/>
      </w:rPr>
    </w:lvl>
    <w:lvl w:ilvl="3">
      <w:start w:val="1"/>
      <w:numFmt w:val="bullet"/>
      <w:lvlText w:val=""/>
      <w:lvlJc w:val="left"/>
      <w:pPr>
        <w:ind w:left="3360" w:hanging="420"/>
      </w:pPr>
      <w:rPr>
        <w:rFonts w:ascii="Wingdings" w:hAnsi="Wingdings" w:hint="default"/>
      </w:rPr>
    </w:lvl>
    <w:lvl w:ilvl="4">
      <w:start w:val="1"/>
      <w:numFmt w:val="bullet"/>
      <w:lvlText w:val=""/>
      <w:lvlJc w:val="left"/>
      <w:pPr>
        <w:ind w:left="3780" w:hanging="420"/>
      </w:pPr>
      <w:rPr>
        <w:rFonts w:ascii="Wingdings" w:hAnsi="Wingdings" w:hint="default"/>
      </w:rPr>
    </w:lvl>
    <w:lvl w:ilvl="5">
      <w:start w:val="1"/>
      <w:numFmt w:val="bullet"/>
      <w:lvlText w:val=""/>
      <w:lvlJc w:val="left"/>
      <w:pPr>
        <w:ind w:left="4200" w:hanging="420"/>
      </w:pPr>
      <w:rPr>
        <w:rFonts w:ascii="Wingdings" w:hAnsi="Wingdings" w:hint="default"/>
      </w:rPr>
    </w:lvl>
    <w:lvl w:ilvl="6">
      <w:start w:val="1"/>
      <w:numFmt w:val="bullet"/>
      <w:lvlText w:val=""/>
      <w:lvlJc w:val="left"/>
      <w:pPr>
        <w:ind w:left="4620" w:hanging="420"/>
      </w:pPr>
      <w:rPr>
        <w:rFonts w:ascii="Wingdings" w:hAnsi="Wingdings" w:hint="default"/>
      </w:rPr>
    </w:lvl>
    <w:lvl w:ilvl="7">
      <w:start w:val="1"/>
      <w:numFmt w:val="bullet"/>
      <w:lvlText w:val=""/>
      <w:lvlJc w:val="left"/>
      <w:pPr>
        <w:ind w:left="5040" w:hanging="420"/>
      </w:pPr>
      <w:rPr>
        <w:rFonts w:ascii="Wingdings" w:hAnsi="Wingdings" w:hint="default"/>
      </w:rPr>
    </w:lvl>
    <w:lvl w:ilvl="8">
      <w:start w:val="1"/>
      <w:numFmt w:val="bullet"/>
      <w:lvlText w:val=""/>
      <w:lvlJc w:val="left"/>
      <w:pPr>
        <w:ind w:left="5460" w:hanging="420"/>
      </w:pPr>
      <w:rPr>
        <w:rFonts w:ascii="Wingdings" w:hAnsi="Wingdings" w:hint="default"/>
      </w:rPr>
    </w:lvl>
  </w:abstractNum>
  <w:abstractNum w:abstractNumId="12" w15:restartNumberingAfterBreak="0">
    <w:nsid w:val="76F44990"/>
    <w:multiLevelType w:val="multilevel"/>
    <w:tmpl w:val="76F44990"/>
    <w:lvl w:ilvl="0">
      <w:start w:val="1"/>
      <w:numFmt w:val="bullet"/>
      <w:lvlText w:val=""/>
      <w:lvlJc w:val="left"/>
      <w:pPr>
        <w:ind w:left="988"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num w:numId="1" w16cid:durableId="381712690">
    <w:abstractNumId w:val="1"/>
  </w:num>
  <w:num w:numId="2" w16cid:durableId="1430737754">
    <w:abstractNumId w:val="7"/>
  </w:num>
  <w:num w:numId="3" w16cid:durableId="781266452">
    <w:abstractNumId w:val="8"/>
  </w:num>
  <w:num w:numId="4" w16cid:durableId="1388994170">
    <w:abstractNumId w:val="9"/>
  </w:num>
  <w:num w:numId="5" w16cid:durableId="235089089">
    <w:abstractNumId w:val="11"/>
  </w:num>
  <w:num w:numId="6" w16cid:durableId="1617717490">
    <w:abstractNumId w:val="5"/>
  </w:num>
  <w:num w:numId="7" w16cid:durableId="1697541620">
    <w:abstractNumId w:val="6"/>
  </w:num>
  <w:num w:numId="8" w16cid:durableId="711424941">
    <w:abstractNumId w:val="3"/>
  </w:num>
  <w:num w:numId="9" w16cid:durableId="672532486">
    <w:abstractNumId w:val="12"/>
  </w:num>
  <w:num w:numId="10" w16cid:durableId="1726443128">
    <w:abstractNumId w:val="0"/>
  </w:num>
  <w:num w:numId="11" w16cid:durableId="948852411">
    <w:abstractNumId w:val="10"/>
  </w:num>
  <w:num w:numId="12" w16cid:durableId="350686298">
    <w:abstractNumId w:val="2"/>
  </w:num>
  <w:num w:numId="13" w16cid:durableId="20714150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DEB"/>
    <w:rsid w:val="00031A89"/>
    <w:rsid w:val="0009660A"/>
    <w:rsid w:val="000C60DC"/>
    <w:rsid w:val="000D26BD"/>
    <w:rsid w:val="000D76CD"/>
    <w:rsid w:val="000F1E66"/>
    <w:rsid w:val="0011551A"/>
    <w:rsid w:val="00142A9E"/>
    <w:rsid w:val="00143824"/>
    <w:rsid w:val="001610DA"/>
    <w:rsid w:val="001B25BE"/>
    <w:rsid w:val="001B65C4"/>
    <w:rsid w:val="001B70D3"/>
    <w:rsid w:val="001C40A6"/>
    <w:rsid w:val="001E7C8F"/>
    <w:rsid w:val="00202C6B"/>
    <w:rsid w:val="0020489E"/>
    <w:rsid w:val="0023401E"/>
    <w:rsid w:val="00237362"/>
    <w:rsid w:val="00266B60"/>
    <w:rsid w:val="002B2702"/>
    <w:rsid w:val="002E3117"/>
    <w:rsid w:val="00306213"/>
    <w:rsid w:val="003129D2"/>
    <w:rsid w:val="00320C70"/>
    <w:rsid w:val="00335A45"/>
    <w:rsid w:val="00341543"/>
    <w:rsid w:val="00354FCC"/>
    <w:rsid w:val="003E10EF"/>
    <w:rsid w:val="003F4009"/>
    <w:rsid w:val="004160D1"/>
    <w:rsid w:val="004240E0"/>
    <w:rsid w:val="004352A3"/>
    <w:rsid w:val="00444AE6"/>
    <w:rsid w:val="004669D1"/>
    <w:rsid w:val="00477B19"/>
    <w:rsid w:val="004E6200"/>
    <w:rsid w:val="004F01DC"/>
    <w:rsid w:val="00512368"/>
    <w:rsid w:val="00534849"/>
    <w:rsid w:val="0055263F"/>
    <w:rsid w:val="005600C9"/>
    <w:rsid w:val="005C1976"/>
    <w:rsid w:val="005D24A6"/>
    <w:rsid w:val="005D7F93"/>
    <w:rsid w:val="005F2420"/>
    <w:rsid w:val="005F722A"/>
    <w:rsid w:val="00603743"/>
    <w:rsid w:val="00617932"/>
    <w:rsid w:val="006238E2"/>
    <w:rsid w:val="0064258B"/>
    <w:rsid w:val="00655B92"/>
    <w:rsid w:val="0067006C"/>
    <w:rsid w:val="00683788"/>
    <w:rsid w:val="00697764"/>
    <w:rsid w:val="006B1064"/>
    <w:rsid w:val="006B2E84"/>
    <w:rsid w:val="006D09C9"/>
    <w:rsid w:val="00707D19"/>
    <w:rsid w:val="007249E3"/>
    <w:rsid w:val="007319BD"/>
    <w:rsid w:val="00734DD4"/>
    <w:rsid w:val="00742861"/>
    <w:rsid w:val="007428B8"/>
    <w:rsid w:val="00760D11"/>
    <w:rsid w:val="007A3E03"/>
    <w:rsid w:val="007D309D"/>
    <w:rsid w:val="00824F36"/>
    <w:rsid w:val="00831C50"/>
    <w:rsid w:val="008448B0"/>
    <w:rsid w:val="00853AF8"/>
    <w:rsid w:val="00871C05"/>
    <w:rsid w:val="008A7275"/>
    <w:rsid w:val="008E6CCB"/>
    <w:rsid w:val="008F1542"/>
    <w:rsid w:val="00937467"/>
    <w:rsid w:val="00943829"/>
    <w:rsid w:val="00973C65"/>
    <w:rsid w:val="009B11AA"/>
    <w:rsid w:val="009D391A"/>
    <w:rsid w:val="009E15D3"/>
    <w:rsid w:val="009E447E"/>
    <w:rsid w:val="009E576C"/>
    <w:rsid w:val="00A056D4"/>
    <w:rsid w:val="00A05F2D"/>
    <w:rsid w:val="00A16976"/>
    <w:rsid w:val="00A24E7A"/>
    <w:rsid w:val="00A27DEB"/>
    <w:rsid w:val="00A429D0"/>
    <w:rsid w:val="00A503C1"/>
    <w:rsid w:val="00A67855"/>
    <w:rsid w:val="00A85791"/>
    <w:rsid w:val="00A93EBE"/>
    <w:rsid w:val="00AC61C1"/>
    <w:rsid w:val="00AC7015"/>
    <w:rsid w:val="00AE0D78"/>
    <w:rsid w:val="00B009FD"/>
    <w:rsid w:val="00B11AE9"/>
    <w:rsid w:val="00B12131"/>
    <w:rsid w:val="00B21349"/>
    <w:rsid w:val="00B335BA"/>
    <w:rsid w:val="00B340C3"/>
    <w:rsid w:val="00B7442A"/>
    <w:rsid w:val="00B8650F"/>
    <w:rsid w:val="00BD182F"/>
    <w:rsid w:val="00BD50D9"/>
    <w:rsid w:val="00BD7802"/>
    <w:rsid w:val="00BF0566"/>
    <w:rsid w:val="00C01223"/>
    <w:rsid w:val="00C05C7C"/>
    <w:rsid w:val="00C211FE"/>
    <w:rsid w:val="00C65CD2"/>
    <w:rsid w:val="00C71D27"/>
    <w:rsid w:val="00C72225"/>
    <w:rsid w:val="00C94730"/>
    <w:rsid w:val="00CC4DD2"/>
    <w:rsid w:val="00CD339B"/>
    <w:rsid w:val="00CF5680"/>
    <w:rsid w:val="00D105F2"/>
    <w:rsid w:val="00D96A30"/>
    <w:rsid w:val="00DA101A"/>
    <w:rsid w:val="00DC0FBA"/>
    <w:rsid w:val="00DC6912"/>
    <w:rsid w:val="00DD0204"/>
    <w:rsid w:val="00DD06BC"/>
    <w:rsid w:val="00DD300F"/>
    <w:rsid w:val="00DD592D"/>
    <w:rsid w:val="00DF2ED7"/>
    <w:rsid w:val="00DF48F0"/>
    <w:rsid w:val="00DF5A0D"/>
    <w:rsid w:val="00E867FA"/>
    <w:rsid w:val="00E93823"/>
    <w:rsid w:val="00EA68C3"/>
    <w:rsid w:val="00EB6A13"/>
    <w:rsid w:val="00EC376C"/>
    <w:rsid w:val="00ED3443"/>
    <w:rsid w:val="00EE52DA"/>
    <w:rsid w:val="00EF6ABA"/>
    <w:rsid w:val="00F44116"/>
    <w:rsid w:val="00F53BBD"/>
    <w:rsid w:val="191D6F10"/>
    <w:rsid w:val="20826E0B"/>
    <w:rsid w:val="6DE5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5FF3108"/>
  <w15:docId w15:val="{1467A295-AC5F-4B04-8E30-055DCEAE1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a9"/>
    <w:uiPriority w:val="10"/>
    <w:qFormat/>
    <w:pPr>
      <w:spacing w:before="240" w:after="60"/>
      <w:jc w:val="center"/>
      <w:outlineLvl w:val="0"/>
    </w:pPr>
    <w:rPr>
      <w:rFonts w:asciiTheme="majorHAnsi" w:eastAsia="宋体" w:hAnsiTheme="majorHAnsi" w:cstheme="majorBidi"/>
      <w:b/>
      <w:bCs/>
      <w:sz w:val="32"/>
      <w:szCs w:val="32"/>
    </w:rPr>
  </w:style>
  <w:style w:type="table" w:styleId="aa">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styleId="ab">
    <w:name w:val="List Paragraph"/>
    <w:basedOn w:val="a"/>
    <w:uiPriority w:val="34"/>
    <w:qFormat/>
    <w:pPr>
      <w:ind w:firstLineChars="200" w:firstLine="420"/>
    </w:pPr>
  </w:style>
  <w:style w:type="character" w:customStyle="1" w:styleId="a9">
    <w:name w:val="标题 字符"/>
    <w:basedOn w:val="a0"/>
    <w:link w:val="a8"/>
    <w:uiPriority w:val="10"/>
    <w:rPr>
      <w:rFonts w:asciiTheme="majorHAnsi" w:eastAsia="宋体" w:hAnsiTheme="majorHAnsi" w:cstheme="majorBidi"/>
      <w:b/>
      <w:bCs/>
      <w:sz w:val="32"/>
      <w:szCs w:val="32"/>
    </w:rPr>
  </w:style>
  <w:style w:type="table" w:customStyle="1" w:styleId="2-11">
    <w:name w:val="网格表 2 - 着色 11"/>
    <w:basedOn w:val="a1"/>
    <w:uiPriority w:val="47"/>
    <w:tblPr>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A60D1-6807-42F8-8B12-EBE9326D3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243</Words>
  <Characters>1390</Characters>
  <Application>Microsoft Office Word</Application>
  <DocSecurity>0</DocSecurity>
  <Lines>11</Lines>
  <Paragraphs>3</Paragraphs>
  <ScaleCrop>false</ScaleCrop>
  <Company>Users</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fz98wujiao10685283@outlook.com</cp:lastModifiedBy>
  <cp:revision>52</cp:revision>
  <dcterms:created xsi:type="dcterms:W3CDTF">2021-09-07T09:02:00Z</dcterms:created>
  <dcterms:modified xsi:type="dcterms:W3CDTF">2022-09-07T22:50:00Z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02D1A6E1F4B64362BB48D0425D978FE3</vt:lpwstr>
  </property>
</Properties>
</file>