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36"/>
        </w:rPr>
      </w:pPr>
      <w:r>
        <w:rPr>
          <w:rFonts w:hint="eastAsia" w:ascii="微软雅黑" w:hAnsi="微软雅黑" w:eastAsia="微软雅黑"/>
          <w:b/>
          <w:sz w:val="36"/>
        </w:rPr>
        <w:t>BLM战略执行力训战营（咨询式培训）</w:t>
      </w:r>
    </w:p>
    <w:p>
      <w:pPr>
        <w:jc w:val="center"/>
        <w:rPr>
          <w:sz w:val="20"/>
        </w:rPr>
      </w:pPr>
      <w:r>
        <w:rPr>
          <w:rFonts w:hint="eastAsia" w:ascii="微软雅黑" w:hAnsi="微软雅黑" w:eastAsia="微软雅黑" w:cs="微软雅黑"/>
          <w:b/>
          <w:bCs/>
          <w:sz w:val="24"/>
          <w:szCs w:val="28"/>
        </w:rPr>
        <w:t xml:space="preserve"> </w:t>
      </w:r>
      <w:r>
        <w:rPr>
          <w:rFonts w:ascii="微软雅黑" w:hAnsi="微软雅黑" w:eastAsia="微软雅黑" w:cs="微软雅黑"/>
          <w:b/>
          <w:bCs/>
          <w:sz w:val="24"/>
          <w:szCs w:val="28"/>
        </w:rPr>
        <w:t xml:space="preserve">                    </w:t>
      </w:r>
    </w:p>
    <w:p>
      <w:pPr>
        <w:pStyle w:val="13"/>
        <w:numPr>
          <w:ilvl w:val="0"/>
          <w:numId w:val="1"/>
        </w:numPr>
        <w:ind w:firstLineChars="0"/>
        <w:jc w:val="left"/>
        <w:rPr>
          <w:rFonts w:ascii="微软雅黑" w:hAnsi="微软雅黑" w:eastAsia="微软雅黑"/>
          <w:b/>
          <w:bCs/>
          <w:sz w:val="24"/>
          <w:szCs w:val="28"/>
        </w:rPr>
      </w:pPr>
      <w:r>
        <w:rPr>
          <w:rFonts w:hint="eastAsia" w:ascii="微软雅黑" w:hAnsi="微软雅黑" w:eastAsia="微软雅黑"/>
          <w:b/>
          <w:bCs/>
          <w:sz w:val="24"/>
          <w:szCs w:val="28"/>
        </w:rPr>
        <w:t>项目背景</w:t>
      </w:r>
    </w:p>
    <w:p>
      <w:pPr>
        <w:snapToGrid w:val="0"/>
        <w:spacing w:line="276" w:lineRule="auto"/>
        <w:ind w:firstLine="420"/>
        <w:rPr>
          <w:rFonts w:ascii="微软雅黑" w:hAnsi="微软雅黑" w:eastAsia="微软雅黑"/>
          <w:sz w:val="24"/>
        </w:rPr>
      </w:pPr>
      <w:r>
        <w:rPr>
          <w:rFonts w:hint="eastAsia" w:ascii="微软雅黑" w:hAnsi="微软雅黑" w:eastAsia="微软雅黑"/>
          <w:sz w:val="24"/>
        </w:rPr>
        <w:t>华为公司2</w:t>
      </w:r>
      <w:r>
        <w:rPr>
          <w:rFonts w:ascii="微软雅黑" w:hAnsi="微软雅黑" w:eastAsia="微软雅黑"/>
          <w:sz w:val="24"/>
        </w:rPr>
        <w:t>006年引入</w:t>
      </w:r>
      <w:r>
        <w:rPr>
          <w:rFonts w:hint="eastAsia" w:ascii="微软雅黑" w:hAnsi="微软雅黑" w:eastAsia="微软雅黑"/>
          <w:sz w:val="24"/>
        </w:rPr>
        <w:t>BLM作为战略制定工具，帮助管理层在企业战略制定与执行的过程中进行系统的思考分析及执行跟踪，帮助华为在手机、5</w:t>
      </w:r>
      <w:r>
        <w:rPr>
          <w:rFonts w:ascii="微软雅黑" w:hAnsi="微软雅黑" w:eastAsia="微软雅黑"/>
          <w:sz w:val="24"/>
        </w:rPr>
        <w:t>G</w:t>
      </w:r>
      <w:r>
        <w:rPr>
          <w:rFonts w:hint="eastAsia" w:ascii="微软雅黑" w:hAnsi="微软雅黑" w:eastAsia="微软雅黑"/>
          <w:sz w:val="24"/>
        </w:rPr>
        <w:t>、汽车整体解决方案</w:t>
      </w:r>
      <w:r>
        <w:rPr>
          <w:rFonts w:ascii="微软雅黑" w:hAnsi="微软雅黑" w:eastAsia="微软雅黑"/>
          <w:sz w:val="24"/>
        </w:rPr>
        <w:t>等领域大获成功</w:t>
      </w:r>
      <w:r>
        <w:rPr>
          <w:rFonts w:hint="eastAsia" w:ascii="微软雅黑" w:hAnsi="微软雅黑" w:eastAsia="微软雅黑"/>
          <w:sz w:val="24"/>
        </w:rPr>
        <w:t>。华为对于战略规划的基本要求是：</w:t>
      </w:r>
    </w:p>
    <w:p>
      <w:pPr>
        <w:pStyle w:val="13"/>
        <w:numPr>
          <w:ilvl w:val="0"/>
          <w:numId w:val="2"/>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思想一致，上下同欲，共识同频</w:t>
      </w:r>
    </w:p>
    <w:p>
      <w:pPr>
        <w:pStyle w:val="13"/>
        <w:numPr>
          <w:ilvl w:val="0"/>
          <w:numId w:val="2"/>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目标一致，压力传递，力出一孔</w:t>
      </w:r>
    </w:p>
    <w:p>
      <w:pPr>
        <w:pStyle w:val="13"/>
        <w:numPr>
          <w:ilvl w:val="0"/>
          <w:numId w:val="2"/>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行动一致，清晰任务，高效执行</w:t>
      </w:r>
    </w:p>
    <w:p>
      <w:pPr>
        <w:rPr>
          <w:rFonts w:ascii="微软雅黑" w:hAnsi="微软雅黑" w:eastAsia="微软雅黑"/>
          <w:sz w:val="24"/>
        </w:rPr>
      </w:pPr>
      <w:r>
        <w:rPr>
          <w:rFonts w:ascii="微软雅黑" w:hAnsi="微软雅黑" w:eastAsia="微软雅黑"/>
          <w:sz w:val="24"/>
        </w:rPr>
        <w:t>很多中小民营企业</w:t>
      </w:r>
      <w:r>
        <w:rPr>
          <w:rFonts w:hint="eastAsia" w:ascii="微软雅黑" w:hAnsi="微软雅黑" w:eastAsia="微软雅黑"/>
          <w:sz w:val="24"/>
        </w:rPr>
        <w:t>，在制定战略规划与解码落地执行过程经常遇到以下管理难题：</w:t>
      </w:r>
    </w:p>
    <w:p>
      <w:pPr>
        <w:pStyle w:val="13"/>
        <w:numPr>
          <w:ilvl w:val="0"/>
          <w:numId w:val="3"/>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难共识：老板认为可以做，中层能力有限，中层认为老板在做梦</w:t>
      </w:r>
    </w:p>
    <w:p>
      <w:pPr>
        <w:pStyle w:val="13"/>
        <w:numPr>
          <w:ilvl w:val="0"/>
          <w:numId w:val="3"/>
        </w:numPr>
        <w:snapToGrid w:val="0"/>
        <w:spacing w:line="276" w:lineRule="auto"/>
        <w:ind w:firstLineChars="0"/>
        <w:rPr>
          <w:rFonts w:ascii="微软雅黑" w:hAnsi="微软雅黑" w:eastAsia="微软雅黑"/>
          <w:sz w:val="24"/>
        </w:rPr>
      </w:pPr>
      <w:r>
        <w:rPr>
          <w:rFonts w:ascii="微软雅黑" w:hAnsi="微软雅黑" w:eastAsia="微软雅黑"/>
          <w:sz w:val="24"/>
        </w:rPr>
        <w:t>取舍难</w:t>
      </w:r>
      <w:r>
        <w:rPr>
          <w:rFonts w:hint="eastAsia" w:ascii="微软雅黑" w:hAnsi="微软雅黑" w:eastAsia="微软雅黑"/>
          <w:sz w:val="24"/>
        </w:rPr>
        <w:t>：</w:t>
      </w:r>
      <w:r>
        <w:rPr>
          <w:rFonts w:ascii="微软雅黑" w:hAnsi="微软雅黑" w:eastAsia="微软雅黑"/>
          <w:sz w:val="24"/>
        </w:rPr>
        <w:t>感觉处处是机会</w:t>
      </w:r>
      <w:r>
        <w:rPr>
          <w:rFonts w:hint="eastAsia" w:ascii="微软雅黑" w:hAnsi="微软雅黑" w:eastAsia="微软雅黑"/>
          <w:sz w:val="24"/>
        </w:rPr>
        <w:t>，</w:t>
      </w:r>
      <w:r>
        <w:rPr>
          <w:rFonts w:ascii="微软雅黑" w:hAnsi="微软雅黑" w:eastAsia="微软雅黑"/>
          <w:sz w:val="24"/>
        </w:rPr>
        <w:t>什么样的客户都</w:t>
      </w:r>
      <w:r>
        <w:rPr>
          <w:rFonts w:hint="eastAsia" w:ascii="微软雅黑" w:hAnsi="微软雅黑" w:eastAsia="微软雅黑"/>
          <w:sz w:val="24"/>
        </w:rPr>
        <w:t>能</w:t>
      </w:r>
      <w:r>
        <w:rPr>
          <w:rFonts w:ascii="微软雅黑" w:hAnsi="微软雅黑" w:eastAsia="微软雅黑"/>
          <w:sz w:val="24"/>
        </w:rPr>
        <w:t>拿下</w:t>
      </w:r>
      <w:r>
        <w:rPr>
          <w:rFonts w:hint="eastAsia" w:ascii="微软雅黑" w:hAnsi="微软雅黑" w:eastAsia="微软雅黑"/>
          <w:sz w:val="24"/>
        </w:rPr>
        <w:t>，</w:t>
      </w:r>
      <w:r>
        <w:rPr>
          <w:rFonts w:ascii="微软雅黑" w:hAnsi="微软雅黑" w:eastAsia="微软雅黑"/>
          <w:sz w:val="24"/>
        </w:rPr>
        <w:t>却事与愿违</w:t>
      </w:r>
    </w:p>
    <w:p>
      <w:pPr>
        <w:pStyle w:val="13"/>
        <w:numPr>
          <w:ilvl w:val="0"/>
          <w:numId w:val="3"/>
        </w:numPr>
        <w:snapToGrid w:val="0"/>
        <w:spacing w:line="276" w:lineRule="auto"/>
        <w:ind w:firstLineChars="0"/>
        <w:rPr>
          <w:rFonts w:ascii="微软雅黑" w:hAnsi="微软雅黑" w:eastAsia="微软雅黑"/>
          <w:sz w:val="24"/>
        </w:rPr>
      </w:pPr>
      <w:r>
        <w:rPr>
          <w:rFonts w:ascii="微软雅黑" w:hAnsi="微软雅黑" w:eastAsia="微软雅黑"/>
          <w:sz w:val="24"/>
        </w:rPr>
        <w:t>难落地</w:t>
      </w:r>
      <w:r>
        <w:rPr>
          <w:rFonts w:hint="eastAsia" w:ascii="微软雅黑" w:hAnsi="微软雅黑" w:eastAsia="微软雅黑"/>
          <w:sz w:val="24"/>
        </w:rPr>
        <w:t>：市场机会好，缺机会到执行的系统思考，</w:t>
      </w:r>
      <w:r>
        <w:rPr>
          <w:rFonts w:ascii="微软雅黑" w:hAnsi="微软雅黑" w:eastAsia="微软雅黑"/>
          <w:sz w:val="24"/>
        </w:rPr>
        <w:t>难以把握机会</w:t>
      </w:r>
    </w:p>
    <w:p>
      <w:pPr>
        <w:pStyle w:val="13"/>
        <w:numPr>
          <w:ilvl w:val="0"/>
          <w:numId w:val="3"/>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两张皮：规划与经营、经营及考核两张皮，该怎么干还是怎么干</w:t>
      </w:r>
    </w:p>
    <w:p>
      <w:pPr>
        <w:snapToGrid w:val="0"/>
        <w:spacing w:line="276" w:lineRule="auto"/>
        <w:rPr>
          <w:b/>
          <w:bCs/>
        </w:rPr>
      </w:pPr>
    </w:p>
    <w:p>
      <w:pPr>
        <w:pStyle w:val="13"/>
        <w:numPr>
          <w:ilvl w:val="0"/>
          <w:numId w:val="4"/>
        </w:numPr>
        <w:snapToGrid w:val="0"/>
        <w:spacing w:line="276" w:lineRule="auto"/>
        <w:ind w:leftChars="100" w:firstLineChars="0"/>
        <w:rPr>
          <w:rFonts w:ascii="微软雅黑" w:hAnsi="微软雅黑" w:eastAsia="微软雅黑"/>
          <w:b/>
          <w:bCs/>
          <w:sz w:val="24"/>
        </w:rPr>
      </w:pPr>
      <w:r>
        <w:rPr>
          <w:rFonts w:hint="eastAsia" w:ascii="微软雅黑" w:hAnsi="微软雅黑" w:eastAsia="微软雅黑"/>
          <w:b/>
          <w:bCs/>
          <w:sz w:val="24"/>
        </w:rPr>
        <w:t>训战营V</w:t>
      </w:r>
      <w:r>
        <w:rPr>
          <w:rFonts w:ascii="微软雅黑" w:hAnsi="微软雅黑" w:eastAsia="微软雅黑"/>
          <w:b/>
          <w:bCs/>
          <w:sz w:val="24"/>
        </w:rPr>
        <w:t>S</w:t>
      </w:r>
      <w:r>
        <w:rPr>
          <w:rFonts w:hint="eastAsia" w:ascii="微软雅黑" w:hAnsi="微软雅黑" w:eastAsia="微软雅黑"/>
          <w:b/>
          <w:bCs/>
          <w:sz w:val="24"/>
        </w:rPr>
        <w:t>传统战略规划课程</w:t>
      </w:r>
    </w:p>
    <w:p>
      <w:pPr>
        <w:pStyle w:val="13"/>
        <w:snapToGrid w:val="0"/>
        <w:spacing w:line="276" w:lineRule="auto"/>
        <w:ind w:left="210" w:leftChars="100" w:firstLine="0" w:firstLineChars="0"/>
        <w:rPr>
          <w:rFonts w:ascii="微软雅黑" w:hAnsi="微软雅黑" w:eastAsia="微软雅黑"/>
          <w:sz w:val="24"/>
        </w:rPr>
      </w:pPr>
      <w:r>
        <w:rPr>
          <w:rFonts w:hint="eastAsia" w:ascii="微软雅黑" w:hAnsi="微软雅黑" w:eastAsia="微软雅黑"/>
          <w:sz w:val="24"/>
        </w:rPr>
        <w:t>训战营</w:t>
      </w:r>
    </w:p>
    <w:p>
      <w:pPr>
        <w:pStyle w:val="13"/>
        <w:numPr>
          <w:ilvl w:val="0"/>
          <w:numId w:val="5"/>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企业组织共建共创，上下达成共识</w:t>
      </w:r>
    </w:p>
    <w:p>
      <w:pPr>
        <w:pStyle w:val="13"/>
        <w:numPr>
          <w:ilvl w:val="0"/>
          <w:numId w:val="5"/>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统一方法、统一语言、统一思想、清晰描述和衡量战略</w:t>
      </w:r>
    </w:p>
    <w:p>
      <w:pPr>
        <w:pStyle w:val="13"/>
        <w:numPr>
          <w:ilvl w:val="0"/>
          <w:numId w:val="5"/>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实施有保障，构建一套体系化的从战略规划到执行的解决方案</w:t>
      </w:r>
    </w:p>
    <w:p>
      <w:pPr>
        <w:pStyle w:val="13"/>
        <w:snapToGrid w:val="0"/>
        <w:spacing w:line="276" w:lineRule="auto"/>
        <w:ind w:left="420" w:leftChars="200" w:firstLine="0" w:firstLineChars="0"/>
        <w:rPr>
          <w:rFonts w:ascii="微软雅黑" w:hAnsi="微软雅黑" w:eastAsia="微软雅黑"/>
          <w:sz w:val="24"/>
        </w:rPr>
      </w:pPr>
    </w:p>
    <w:p>
      <w:pPr>
        <w:pStyle w:val="13"/>
        <w:snapToGrid w:val="0"/>
        <w:spacing w:line="276" w:lineRule="auto"/>
        <w:ind w:left="210" w:leftChars="100" w:firstLine="0" w:firstLineChars="0"/>
        <w:rPr>
          <w:rFonts w:ascii="微软雅黑" w:hAnsi="微软雅黑" w:eastAsia="微软雅黑"/>
          <w:sz w:val="24"/>
        </w:rPr>
      </w:pPr>
      <w:r>
        <w:rPr>
          <w:rFonts w:hint="eastAsia" w:ascii="微软雅黑" w:hAnsi="微软雅黑" w:eastAsia="微软雅黑"/>
          <w:sz w:val="24"/>
        </w:rPr>
        <w:t>传统战略规划课程</w:t>
      </w:r>
    </w:p>
    <w:p>
      <w:pPr>
        <w:pStyle w:val="13"/>
        <w:numPr>
          <w:ilvl w:val="0"/>
          <w:numId w:val="6"/>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没有规划组织、业务部门未与各部门碰撞与共建</w:t>
      </w:r>
    </w:p>
    <w:p>
      <w:pPr>
        <w:pStyle w:val="13"/>
        <w:numPr>
          <w:ilvl w:val="0"/>
          <w:numId w:val="6"/>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缺乏统一的战略思想、语言、流程、方法论及工具</w:t>
      </w:r>
    </w:p>
    <w:p>
      <w:pPr>
        <w:pStyle w:val="13"/>
        <w:numPr>
          <w:ilvl w:val="0"/>
          <w:numId w:val="6"/>
        </w:numPr>
        <w:snapToGrid w:val="0"/>
        <w:spacing w:line="276" w:lineRule="auto"/>
        <w:ind w:left="420" w:leftChars="200" w:firstLineChars="0"/>
        <w:rPr>
          <w:rFonts w:ascii="微软雅黑" w:hAnsi="微软雅黑" w:eastAsia="微软雅黑"/>
          <w:sz w:val="24"/>
        </w:rPr>
      </w:pPr>
      <w:r>
        <w:rPr>
          <w:rFonts w:hint="eastAsia" w:ascii="微软雅黑" w:hAnsi="微软雅黑" w:eastAsia="微软雅黑"/>
          <w:sz w:val="24"/>
        </w:rPr>
        <w:t>战略规划锁在保险柜，一年看一次</w:t>
      </w:r>
    </w:p>
    <w:p>
      <w:pPr>
        <w:jc w:val="left"/>
        <w:rPr>
          <w:rFonts w:ascii="微软雅黑" w:hAnsi="微软雅黑" w:eastAsia="微软雅黑"/>
          <w:b/>
          <w:bCs/>
          <w:sz w:val="24"/>
          <w:szCs w:val="28"/>
        </w:rPr>
      </w:pPr>
    </w:p>
    <w:p>
      <w:pPr>
        <w:jc w:val="center"/>
        <w:rPr>
          <w:rFonts w:ascii="微软雅黑" w:hAnsi="微软雅黑" w:eastAsia="微软雅黑"/>
          <w:b/>
          <w:bCs/>
          <w:sz w:val="28"/>
          <w:szCs w:val="32"/>
        </w:rPr>
      </w:pPr>
      <w:r>
        <w:rPr>
          <w:sz w:val="22"/>
          <w:szCs w:val="24"/>
        </w:rPr>
        <w:drawing>
          <wp:anchor distT="0" distB="0" distL="114300" distR="114300" simplePos="0" relativeHeight="251659264" behindDoc="0" locked="0" layoutInCell="1" allowOverlap="1">
            <wp:simplePos x="0" y="0"/>
            <wp:positionH relativeFrom="margin">
              <wp:posOffset>93980</wp:posOffset>
            </wp:positionH>
            <wp:positionV relativeFrom="margin">
              <wp:posOffset>498475</wp:posOffset>
            </wp:positionV>
            <wp:extent cx="4698365" cy="2019300"/>
            <wp:effectExtent l="0" t="0" r="6985"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698365" cy="2019300"/>
                    </a:xfrm>
                    <a:prstGeom prst="rect">
                      <a:avLst/>
                    </a:prstGeom>
                    <a:noFill/>
                  </pic:spPr>
                </pic:pic>
              </a:graphicData>
            </a:graphic>
          </wp:anchor>
        </w:drawing>
      </w:r>
      <w:r>
        <w:rPr>
          <w:rFonts w:hint="eastAsia" w:ascii="微软雅黑" w:hAnsi="微软雅黑" w:eastAsia="微软雅黑"/>
          <w:b/>
          <w:bCs/>
          <w:sz w:val="28"/>
          <w:szCs w:val="32"/>
        </w:rPr>
        <w:t>华为破解以上困局的核心方法论——B</w:t>
      </w:r>
      <w:r>
        <w:rPr>
          <w:rFonts w:ascii="微软雅黑" w:hAnsi="微软雅黑" w:eastAsia="微软雅黑"/>
          <w:b/>
          <w:bCs/>
          <w:sz w:val="28"/>
          <w:szCs w:val="32"/>
        </w:rPr>
        <w:t>LM</w:t>
      </w:r>
      <w:r>
        <w:rPr>
          <w:rFonts w:hint="eastAsia" w:ascii="微软雅黑" w:hAnsi="微软雅黑" w:eastAsia="微软雅黑"/>
          <w:b/>
          <w:bCs/>
          <w:sz w:val="28"/>
          <w:szCs w:val="32"/>
        </w:rPr>
        <w:t>业务领先模型</w:t>
      </w:r>
    </w:p>
    <w:p>
      <w:pPr>
        <w:ind w:firstLine="1320" w:firstLineChars="600"/>
        <w:rPr>
          <w:rFonts w:ascii="微软雅黑" w:hAnsi="微软雅黑" w:eastAsia="微软雅黑"/>
          <w:sz w:val="22"/>
          <w:szCs w:val="24"/>
        </w:rPr>
      </w:pPr>
      <w:r>
        <w:rPr>
          <w:rFonts w:ascii="微软雅黑" w:hAnsi="微软雅黑" w:eastAsia="微软雅黑"/>
          <w:sz w:val="22"/>
          <w:szCs w:val="24"/>
        </w:rPr>
        <mc:AlternateContent>
          <mc:Choice Requires="wps">
            <w:drawing>
              <wp:anchor distT="0" distB="0" distL="114300" distR="114300" simplePos="0" relativeHeight="251660288" behindDoc="0" locked="0" layoutInCell="1" allowOverlap="1">
                <wp:simplePos x="0" y="0"/>
                <wp:positionH relativeFrom="column">
                  <wp:posOffset>705485</wp:posOffset>
                </wp:positionH>
                <wp:positionV relativeFrom="paragraph">
                  <wp:posOffset>2193925</wp:posOffset>
                </wp:positionV>
                <wp:extent cx="3555365" cy="8255"/>
                <wp:effectExtent l="0" t="57150" r="45085" b="86995"/>
                <wp:wrapNone/>
                <wp:docPr id="4" name="直接箭头连接符 4"/>
                <wp:cNvGraphicFramePr/>
                <a:graphic xmlns:a="http://schemas.openxmlformats.org/drawingml/2006/main">
                  <a:graphicData uri="http://schemas.microsoft.com/office/word/2010/wordprocessingShape">
                    <wps:wsp>
                      <wps:cNvCnPr/>
                      <wps:spPr>
                        <a:xfrm>
                          <a:off x="0" y="0"/>
                          <a:ext cx="3555577" cy="8466"/>
                        </a:xfrm>
                        <a:prstGeom prst="straightConnector1">
                          <a:avLst/>
                        </a:prstGeom>
                        <a:ln w="127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55.55pt;margin-top:172.75pt;height:0.65pt;width:279.95pt;z-index:251660288;mso-width-relative:page;mso-height-relative:page;" filled="f" stroked="t" coordsize="21600,21600" o:gfxdata="UEsDBAoAAAAAAIdO4kAAAAAAAAAAAAAAAAAEAAAAZHJzL1BLAwQUAAAACACHTuJAxGuEUNkAAAAL&#10;AQAADwAAAGRycy9kb3ducmV2LnhtbE2PMW/CMBCF90r9D9ZV6lIVO5QElMZhQOpUlkIZupn4SALx&#10;OYoNof31Pab2tnf39O57xfLqOnHBIbSeNCQTBQKp8ralWsPn9u15ASJEQ9Z0nlDDNwZYlvd3hcmt&#10;H+kDL5tYCw6hkBsNTYx9LmWoGnQmTHyPxLeDH5yJLIda2sGMHO46OVUqk860xB8a0+Oqweq0OTsN&#10;6+MYzfSH1qtxrnZP77v06zDrtX58SNQriIjX+GeGGz6jQ8lMe38mG0THmoetGl5maQqCHdk84Xb7&#10;2yZbgCwL+b9D+QtQSwMEFAAAAAgAh07iQM5jjaoaAgAABwQAAA4AAABkcnMvZTJvRG9jLnhtbK1T&#10;zXLTMBC+M8M7aHQndkLaFE+cDk1aLvxkBniAjSzbmtHfSGqcvAQvwAwn4ASceudpoDwGK9lNoVx6&#10;wAd5tev9dr9v1/PTnZJky50XRpd0PMop4ZqZSuimpG/fXDw6ocQH0BVIo3lJ99zT08XDB/POFnxi&#10;WiMr7giCaF90tqRtCLbIMs9arsCPjOUag7VxCgJeXZNVDjpEVzKb5Plx1hlXWWcY9x69qz5IB0R3&#10;H0BT14LxlWGXiuvQozouISAl3wrr6SJ1W9echVd17XkgsqTINKQTi6C9iWe2mEPROLCtYEMLcJ8W&#10;7nBSIDQWPUCtIAC5dOIfKCWYM97UYcSMynoiSRFkMc7vaPO6BcsTF5Ta24Po/v/BspfbtSOiKumU&#10;Eg0KB379/urnu0/X377++Hj16/uHaH/5TKZRqs76AjOWeu2Gm7drF3nvaqfiGxmRXZJ3f5CX7wJh&#10;6Hx8hM9sRgnD2Mn0+DhCZre51vnwjBtFolFSHxyIpg1LozXO0bhxUhi2z33oE28SYmFtLoSU6IdC&#10;atLhZk9mOU6ZAe5ojbuBprLI0+uGEpANLj8LLkF6I0UV02O2d81mKR3ZAq7M9Ons/Oys/6iFivfe&#10;J0c5QqdaHsILU/XucX7jR1IDTCL4F35segW+7XNSqIcKIOS5rkjYW5xCcAJ0I/mgkdSIFOXvBY/W&#10;xlT7NIfkx/1ItYZdjgv45z1l3/6/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a4RQ2QAAAAsB&#10;AAAPAAAAAAAAAAEAIAAAACIAAABkcnMvZG93bnJldi54bWxQSwECFAAUAAAACACHTuJAzmONqhoC&#10;AAAHBAAADgAAAAAAAAABACAAAAAoAQAAZHJzL2Uyb0RvYy54bWxQSwUGAAAAAAYABgBZAQAAtAUA&#10;AAAA&#10;">
                <v:fill on="f" focussize="0,0"/>
                <v:stroke weight="1pt" color="#4A7EBB [3204]" joinstyle="round" endarrow="block"/>
                <v:imagedata o:title=""/>
                <o:lock v:ext="edit" aspectratio="f"/>
              </v:shape>
            </w:pict>
          </mc:Fallback>
        </mc:AlternateContent>
      </w:r>
      <w:r>
        <w:rPr>
          <w:rFonts w:hint="eastAsia" w:ascii="微软雅黑" w:hAnsi="微软雅黑" w:eastAsia="微软雅黑"/>
          <w:sz w:val="22"/>
          <w:szCs w:val="24"/>
        </w:rPr>
        <w:t xml:space="preserve">提升战略领导力 </w:t>
      </w:r>
      <w:r>
        <w:rPr>
          <w:rFonts w:ascii="微软雅黑" w:hAnsi="微软雅黑" w:eastAsia="微软雅黑"/>
          <w:sz w:val="22"/>
          <w:szCs w:val="24"/>
        </w:rPr>
        <w:t xml:space="preserve">I </w:t>
      </w:r>
      <w:r>
        <w:rPr>
          <w:rFonts w:hint="eastAsia" w:ascii="微软雅黑" w:hAnsi="微软雅黑" w:eastAsia="微软雅黑"/>
          <w:sz w:val="22"/>
          <w:szCs w:val="24"/>
        </w:rPr>
        <w:t>洞察增长机会 I</w:t>
      </w:r>
      <w:r>
        <w:rPr>
          <w:rFonts w:ascii="微软雅黑" w:hAnsi="微软雅黑" w:eastAsia="微软雅黑"/>
          <w:sz w:val="22"/>
          <w:szCs w:val="24"/>
        </w:rPr>
        <w:t xml:space="preserve"> </w:t>
      </w:r>
      <w:r>
        <w:rPr>
          <w:rFonts w:hint="eastAsia" w:ascii="微软雅黑" w:hAnsi="微软雅黑" w:eastAsia="微软雅黑"/>
          <w:sz w:val="22"/>
          <w:szCs w:val="24"/>
        </w:rPr>
        <w:t>规划增长路径</w:t>
      </w:r>
    </w:p>
    <w:p>
      <w:pPr>
        <w:jc w:val="left"/>
        <w:rPr>
          <w:rFonts w:ascii="微软雅黑" w:hAnsi="微软雅黑" w:eastAsia="微软雅黑"/>
          <w:sz w:val="24"/>
          <w:szCs w:val="28"/>
        </w:rPr>
      </w:pPr>
      <w:r>
        <w:rPr>
          <w:rFonts w:hint="eastAsia" w:ascii="微软雅黑" w:hAnsi="微软雅黑" w:eastAsia="微软雅黑"/>
          <w:sz w:val="24"/>
          <w:szCs w:val="28"/>
        </w:rPr>
        <w:t>让偶然成为必然！帮助企业理清</w:t>
      </w:r>
      <w:r>
        <w:rPr>
          <w:rFonts w:hint="eastAsia" w:ascii="微软雅黑" w:hAnsi="微软雅黑" w:eastAsia="微软雅黑"/>
          <w:b/>
          <w:bCs/>
          <w:sz w:val="24"/>
          <w:szCs w:val="28"/>
        </w:rPr>
        <w:t>四大问题！</w:t>
      </w:r>
      <w:r>
        <w:rPr>
          <w:rFonts w:hint="eastAsia" w:ascii="微软雅黑" w:hAnsi="微软雅黑" w:eastAsia="微软雅黑"/>
          <w:sz w:val="24"/>
          <w:szCs w:val="28"/>
        </w:rPr>
        <w:t xml:space="preserve"> </w:t>
      </w:r>
    </w:p>
    <w:p>
      <w:pPr>
        <w:jc w:val="left"/>
        <w:rPr>
          <w:rFonts w:ascii="微软雅黑" w:hAnsi="微软雅黑" w:eastAsia="微软雅黑"/>
          <w:color w:val="FF0000"/>
          <w:sz w:val="24"/>
          <w:szCs w:val="28"/>
        </w:rPr>
      </w:pPr>
      <w:r>
        <w:rPr>
          <w:rFonts w:hint="eastAsia" w:ascii="微软雅黑" w:hAnsi="微软雅黑" w:eastAsia="微软雅黑"/>
          <w:b/>
          <w:bCs/>
          <w:color w:val="000000" w:themeColor="text1"/>
          <w:sz w:val="24"/>
          <w:szCs w:val="28"/>
          <w14:textFill>
            <w14:solidFill>
              <w14:schemeClr w14:val="tx1"/>
            </w14:solidFill>
          </w14:textFill>
        </w:rPr>
        <w:t>变化在哪里？</w:t>
      </w:r>
      <w:r>
        <w:rPr>
          <w:rFonts w:hint="eastAsia" w:ascii="微软雅黑" w:hAnsi="微软雅黑" w:eastAsia="微软雅黑"/>
          <w:sz w:val="24"/>
          <w:szCs w:val="28"/>
        </w:rPr>
        <w:t>——通过市场洞察看清行业、看清客户、看清竞争对手、看清自己、看清机会；</w:t>
      </w:r>
    </w:p>
    <w:p>
      <w:pPr>
        <w:jc w:val="left"/>
        <w:rPr>
          <w:rFonts w:ascii="微软雅黑" w:hAnsi="微软雅黑" w:eastAsia="微软雅黑"/>
          <w:color w:val="FF0000"/>
          <w:sz w:val="24"/>
          <w:szCs w:val="28"/>
        </w:rPr>
      </w:pPr>
      <w:r>
        <w:rPr>
          <w:rFonts w:hint="eastAsia" w:ascii="微软雅黑" w:hAnsi="微软雅黑" w:eastAsia="微软雅黑"/>
          <w:b/>
          <w:bCs/>
          <w:color w:val="000000" w:themeColor="text1"/>
          <w:sz w:val="24"/>
          <w:szCs w:val="28"/>
          <w14:textFill>
            <w14:solidFill>
              <w14:schemeClr w14:val="tx1"/>
            </w14:solidFill>
          </w14:textFill>
        </w:rPr>
        <w:t>准备去哪里？</w:t>
      </w:r>
      <w:r>
        <w:rPr>
          <w:rFonts w:hint="eastAsia" w:ascii="微软雅黑" w:hAnsi="微软雅黑" w:eastAsia="微软雅黑"/>
          <w:sz w:val="24"/>
          <w:szCs w:val="28"/>
        </w:rPr>
        <w:t>——通过战略意图定下企业经营计划，回答企业该做什么、做成什么样，怎么做的问题</w:t>
      </w:r>
      <w:r>
        <w:rPr>
          <w:rFonts w:ascii="微软雅黑" w:hAnsi="微软雅黑" w:eastAsia="微软雅黑"/>
          <w:sz w:val="24"/>
          <w:szCs w:val="28"/>
        </w:rPr>
        <w:t xml:space="preserve"> </w:t>
      </w:r>
      <w:r>
        <w:rPr>
          <w:rFonts w:hint="eastAsia" w:ascii="微软雅黑" w:hAnsi="微软雅黑" w:eastAsia="微软雅黑"/>
          <w:sz w:val="24"/>
          <w:szCs w:val="28"/>
        </w:rPr>
        <w:t>；</w:t>
      </w:r>
    </w:p>
    <w:p>
      <w:pPr>
        <w:jc w:val="left"/>
        <w:rPr>
          <w:rFonts w:ascii="微软雅黑" w:hAnsi="微软雅黑" w:eastAsia="微软雅黑"/>
          <w:color w:val="FF0000"/>
          <w:sz w:val="24"/>
          <w:szCs w:val="28"/>
        </w:rPr>
      </w:pPr>
      <w:r>
        <w:rPr>
          <w:rFonts w:hint="eastAsia" w:ascii="微软雅黑" w:hAnsi="微软雅黑" w:eastAsia="微软雅黑"/>
          <w:b/>
          <w:bCs/>
          <w:color w:val="000000" w:themeColor="text1"/>
          <w:sz w:val="24"/>
          <w:szCs w:val="28"/>
          <w14:textFill>
            <w14:solidFill>
              <w14:schemeClr w14:val="tx1"/>
            </w14:solidFill>
          </w14:textFill>
        </w:rPr>
        <w:t>目前在哪里？</w:t>
      </w:r>
      <w:r>
        <w:rPr>
          <w:rFonts w:hint="eastAsia" w:ascii="微软雅黑" w:hAnsi="微软雅黑" w:eastAsia="微软雅黑"/>
          <w:sz w:val="24"/>
          <w:szCs w:val="28"/>
        </w:rPr>
        <w:t>——通过差距分析找到业绩差距与机会差距，认清企业经营现状；</w:t>
      </w:r>
    </w:p>
    <w:p>
      <w:pPr>
        <w:jc w:val="left"/>
        <w:rPr>
          <w:rFonts w:ascii="微软雅黑" w:hAnsi="微软雅黑" w:eastAsia="微软雅黑"/>
          <w:color w:val="FF0000"/>
          <w:sz w:val="24"/>
          <w:szCs w:val="28"/>
        </w:rPr>
      </w:pPr>
      <w:r>
        <w:rPr>
          <w:rFonts w:hint="eastAsia" w:ascii="微软雅黑" w:hAnsi="微软雅黑" w:eastAsia="微软雅黑"/>
          <w:b/>
          <w:bCs/>
          <w:color w:val="000000" w:themeColor="text1"/>
          <w:sz w:val="24"/>
          <w:szCs w:val="28"/>
          <w14:textFill>
            <w14:solidFill>
              <w14:schemeClr w14:val="tx1"/>
            </w14:solidFill>
          </w14:textFill>
        </w:rPr>
        <w:t>怎么去那里？</w:t>
      </w:r>
      <w:r>
        <w:rPr>
          <w:rFonts w:hint="eastAsia" w:ascii="微软雅黑" w:hAnsi="微软雅黑" w:eastAsia="微软雅黑"/>
          <w:sz w:val="24"/>
          <w:szCs w:val="28"/>
        </w:rPr>
        <w:t>——通过创新焦点和业务设计构建核心竞争力，通过战略解码实现战略分解，通过关键任务、组织、人才、考核激励支撑战略落地；</w:t>
      </w:r>
    </w:p>
    <w:p>
      <w:pPr>
        <w:jc w:val="left"/>
        <w:rPr>
          <w:rFonts w:ascii="微软雅黑" w:hAnsi="微软雅黑" w:eastAsia="微软雅黑"/>
          <w:b/>
          <w:bCs/>
          <w:sz w:val="24"/>
          <w:szCs w:val="28"/>
        </w:rPr>
      </w:pPr>
    </w:p>
    <w:p>
      <w:pPr>
        <w:pStyle w:val="13"/>
        <w:numPr>
          <w:ilvl w:val="0"/>
          <w:numId w:val="7"/>
        </w:numPr>
        <w:ind w:firstLineChars="0"/>
        <w:jc w:val="left"/>
        <w:rPr>
          <w:rFonts w:ascii="微软雅黑" w:hAnsi="微软雅黑" w:eastAsia="微软雅黑"/>
          <w:b/>
          <w:bCs/>
          <w:sz w:val="24"/>
          <w:szCs w:val="28"/>
        </w:rPr>
      </w:pPr>
      <w:r>
        <w:rPr>
          <w:rFonts w:hint="eastAsia" w:ascii="微软雅黑" w:hAnsi="微软雅黑" w:eastAsia="微软雅黑"/>
          <w:b/>
          <w:bCs/>
          <w:sz w:val="24"/>
          <w:szCs w:val="28"/>
        </w:rPr>
        <w:t>训战营收益：</w:t>
      </w:r>
    </w:p>
    <w:p>
      <w:pPr>
        <w:pStyle w:val="13"/>
        <w:numPr>
          <w:ilvl w:val="0"/>
          <w:numId w:val="8"/>
        </w:numPr>
        <w:snapToGrid w:val="0"/>
        <w:spacing w:line="276" w:lineRule="auto"/>
        <w:ind w:firstLineChars="0"/>
        <w:rPr>
          <w:rFonts w:ascii="微软雅黑" w:hAnsi="微软雅黑" w:eastAsia="微软雅黑"/>
          <w:sz w:val="24"/>
        </w:rPr>
      </w:pPr>
      <w:bookmarkStart w:id="0" w:name="_Toc6808"/>
      <w:bookmarkStart w:id="1" w:name="_Toc501102052"/>
      <w:r>
        <w:rPr>
          <w:rFonts w:hint="eastAsia" w:ascii="微软雅黑" w:hAnsi="微软雅黑" w:eastAsia="微软雅黑"/>
          <w:sz w:val="24"/>
        </w:rPr>
        <w:t>一套机制：统一战略语言和思想，收获成就行业领先者的心法与打法</w:t>
      </w:r>
    </w:p>
    <w:p>
      <w:pPr>
        <w:pStyle w:val="13"/>
        <w:numPr>
          <w:ilvl w:val="0"/>
          <w:numId w:val="8"/>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两项成果：输出公司战略规划（SP）与年度经营计划（BP），包括：公司机会点、战略规划、关键路径、目标分解、关键任务、行动计划等；</w:t>
      </w:r>
    </w:p>
    <w:p>
      <w:pPr>
        <w:pStyle w:val="13"/>
        <w:numPr>
          <w:ilvl w:val="0"/>
          <w:numId w:val="8"/>
        </w:numPr>
        <w:snapToGrid w:val="0"/>
        <w:spacing w:line="276" w:lineRule="auto"/>
        <w:ind w:firstLineChars="0"/>
        <w:rPr>
          <w:rFonts w:ascii="微软雅黑" w:hAnsi="微软雅黑" w:eastAsia="微软雅黑"/>
          <w:sz w:val="24"/>
        </w:rPr>
      </w:pPr>
      <w:r>
        <w:rPr>
          <w:rFonts w:hint="eastAsia" w:ascii="微软雅黑" w:hAnsi="微软雅黑" w:eastAsia="微软雅黑"/>
          <w:sz w:val="24"/>
        </w:rPr>
        <w:t>三个做到：</w:t>
      </w:r>
      <w:r>
        <w:rPr>
          <w:rFonts w:ascii="微软雅黑" w:hAnsi="微软雅黑" w:eastAsia="微软雅黑"/>
          <w:sz w:val="24"/>
        </w:rPr>
        <w:t>战略</w:t>
      </w:r>
      <w:r>
        <w:rPr>
          <w:rFonts w:hint="eastAsia" w:ascii="微软雅黑" w:hAnsi="微软雅黑" w:eastAsia="微软雅黑"/>
          <w:sz w:val="24"/>
        </w:rPr>
        <w:t>大致</w:t>
      </w:r>
      <w:r>
        <w:rPr>
          <w:rFonts w:ascii="微软雅黑" w:hAnsi="微软雅黑" w:eastAsia="微软雅黑"/>
          <w:sz w:val="24"/>
        </w:rPr>
        <w:t>正确，执行保障到位</w:t>
      </w:r>
      <w:r>
        <w:rPr>
          <w:rFonts w:hint="eastAsia" w:ascii="微软雅黑" w:hAnsi="微软雅黑" w:eastAsia="微软雅黑"/>
          <w:sz w:val="24"/>
        </w:rPr>
        <w:t>，</w:t>
      </w:r>
      <w:r>
        <w:rPr>
          <w:rFonts w:ascii="微软雅黑" w:hAnsi="微软雅黑" w:eastAsia="微软雅黑"/>
          <w:sz w:val="24"/>
        </w:rPr>
        <w:t>组织充满活力；</w:t>
      </w:r>
    </w:p>
    <w:bookmarkEnd w:id="0"/>
    <w:bookmarkEnd w:id="1"/>
    <w:p/>
    <w:p>
      <w:pPr>
        <w:jc w:val="left"/>
        <w:rPr>
          <w:rFonts w:ascii="微软雅黑" w:hAnsi="微软雅黑" w:eastAsia="微软雅黑"/>
          <w:b/>
          <w:bCs/>
          <w:sz w:val="24"/>
          <w:szCs w:val="28"/>
        </w:rPr>
      </w:pPr>
    </w:p>
    <w:p>
      <w:pPr>
        <w:pStyle w:val="13"/>
        <w:numPr>
          <w:ilvl w:val="0"/>
          <w:numId w:val="7"/>
        </w:numPr>
        <w:ind w:firstLineChars="0"/>
        <w:jc w:val="left"/>
        <w:rPr>
          <w:rFonts w:ascii="微软雅黑" w:hAnsi="微软雅黑" w:eastAsia="微软雅黑"/>
          <w:b/>
          <w:bCs/>
          <w:sz w:val="24"/>
          <w:szCs w:val="28"/>
        </w:rPr>
      </w:pPr>
      <w:r>
        <w:rPr>
          <w:rFonts w:hint="eastAsia" w:ascii="微软雅黑" w:hAnsi="微软雅黑" w:eastAsia="微软雅黑"/>
          <w:b/>
          <w:bCs/>
          <w:sz w:val="24"/>
          <w:szCs w:val="28"/>
        </w:rPr>
        <w:t>学员对象</w:t>
      </w:r>
    </w:p>
    <w:p>
      <w:pPr>
        <w:pStyle w:val="13"/>
        <w:numPr>
          <w:ilvl w:val="0"/>
          <w:numId w:val="9"/>
        </w:numPr>
        <w:snapToGrid w:val="0"/>
        <w:spacing w:line="276" w:lineRule="auto"/>
        <w:ind w:left="630" w:leftChars="300" w:firstLineChars="0"/>
        <w:rPr>
          <w:rFonts w:ascii="微软雅黑" w:hAnsi="微软雅黑" w:eastAsia="微软雅黑"/>
          <w:sz w:val="24"/>
        </w:rPr>
      </w:pPr>
      <w:r>
        <w:rPr>
          <w:rFonts w:hint="eastAsia" w:ascii="微软雅黑" w:hAnsi="微软雅黑" w:eastAsia="微软雅黑"/>
          <w:sz w:val="24"/>
        </w:rPr>
        <w:t>高层：董事长、董事、CEO、总经理，副总裁、事业部总经理</w:t>
      </w:r>
    </w:p>
    <w:p>
      <w:pPr>
        <w:pStyle w:val="13"/>
        <w:numPr>
          <w:ilvl w:val="0"/>
          <w:numId w:val="9"/>
        </w:numPr>
        <w:snapToGrid w:val="0"/>
        <w:spacing w:line="276" w:lineRule="auto"/>
        <w:ind w:left="630" w:leftChars="300" w:firstLineChars="0"/>
        <w:rPr>
          <w:rFonts w:ascii="微软雅黑" w:hAnsi="微软雅黑" w:eastAsia="微软雅黑"/>
          <w:sz w:val="24"/>
        </w:rPr>
      </w:pPr>
      <w:r>
        <w:rPr>
          <w:rFonts w:hint="eastAsia" w:ascii="微软雅黑" w:hAnsi="微软雅黑" w:eastAsia="微软雅黑"/>
          <w:sz w:val="24"/>
        </w:rPr>
        <w:t>中层：关键部门一、二把手（战略、市场、产品、研发、生产运营、售后、HR、财务等部门领导）</w:t>
      </w:r>
    </w:p>
    <w:p>
      <w:pPr>
        <w:jc w:val="left"/>
        <w:rPr>
          <w:rFonts w:ascii="微软雅黑" w:hAnsi="微软雅黑" w:eastAsia="微软雅黑"/>
          <w:b/>
          <w:bCs/>
          <w:sz w:val="24"/>
          <w:szCs w:val="28"/>
        </w:rPr>
      </w:pPr>
    </w:p>
    <w:p>
      <w:pPr>
        <w:pStyle w:val="13"/>
        <w:numPr>
          <w:ilvl w:val="0"/>
          <w:numId w:val="10"/>
        </w:numPr>
        <w:ind w:firstLineChars="0"/>
        <w:jc w:val="left"/>
        <w:rPr>
          <w:rFonts w:ascii="微软雅黑" w:hAnsi="微软雅黑" w:eastAsia="微软雅黑"/>
          <w:b/>
          <w:bCs/>
          <w:sz w:val="24"/>
          <w:szCs w:val="28"/>
        </w:rPr>
      </w:pPr>
      <w:r>
        <w:rPr>
          <w:rFonts w:ascii="微软雅黑" w:hAnsi="微软雅黑" w:eastAsia="微软雅黑"/>
          <w:b/>
          <w:bCs/>
          <w:sz w:val="24"/>
          <w:szCs w:val="28"/>
        </w:rPr>
        <w:t>课程</w:t>
      </w:r>
      <w:r>
        <w:rPr>
          <w:rFonts w:hint="eastAsia" w:ascii="微软雅黑" w:hAnsi="微软雅黑" w:eastAsia="微软雅黑"/>
          <w:b/>
          <w:bCs/>
          <w:sz w:val="24"/>
          <w:szCs w:val="28"/>
        </w:rPr>
        <w:t>内容（时间计划）</w:t>
      </w:r>
    </w:p>
    <w:tbl>
      <w:tblPr>
        <w:tblStyle w:val="8"/>
        <w:tblW w:w="9498"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Layout w:type="autofit"/>
        <w:tblCellMar>
          <w:top w:w="0" w:type="dxa"/>
          <w:left w:w="108" w:type="dxa"/>
          <w:bottom w:w="0" w:type="dxa"/>
          <w:right w:w="108" w:type="dxa"/>
        </w:tblCellMar>
      </w:tblPr>
      <w:tblGrid>
        <w:gridCol w:w="694"/>
        <w:gridCol w:w="2317"/>
        <w:gridCol w:w="4594"/>
        <w:gridCol w:w="189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473" w:hRule="atLeast"/>
        </w:trPr>
        <w:tc>
          <w:tcPr>
            <w:tcW w:w="694" w:type="dxa"/>
            <w:shd w:val="clear" w:color="auto" w:fill="FFFFFF" w:themeFill="background1"/>
          </w:tcPr>
          <w:p>
            <w:pPr>
              <w:widowControl/>
              <w:spacing w:line="288" w:lineRule="auto"/>
              <w:jc w:val="center"/>
              <w:rPr>
                <w:rFonts w:ascii="微软雅黑" w:hAnsi="微软雅黑" w:eastAsia="微软雅黑" w:cs="Arial"/>
                <w:kern w:val="0"/>
                <w:sz w:val="22"/>
              </w:rPr>
            </w:pPr>
          </w:p>
        </w:tc>
        <w:tc>
          <w:tcPr>
            <w:tcW w:w="2317" w:type="dxa"/>
            <w:shd w:val="clear" w:color="auto" w:fill="FFFFFF" w:themeFill="background1"/>
          </w:tcPr>
          <w:p>
            <w:pPr>
              <w:widowControl/>
              <w:spacing w:line="288" w:lineRule="auto"/>
              <w:jc w:val="center"/>
              <w:rPr>
                <w:rFonts w:ascii="微软雅黑" w:hAnsi="微软雅黑" w:eastAsia="微软雅黑" w:cs="Arial"/>
                <w:kern w:val="0"/>
                <w:sz w:val="22"/>
              </w:rPr>
            </w:pPr>
            <w:r>
              <w:rPr>
                <w:rFonts w:hint="eastAsia" w:ascii="微软雅黑" w:hAnsi="微软雅黑" w:eastAsia="微软雅黑" w:cs="Arial"/>
                <w:color w:val="000000"/>
                <w:sz w:val="22"/>
              </w:rPr>
              <w:t>课程模块</w:t>
            </w:r>
          </w:p>
        </w:tc>
        <w:tc>
          <w:tcPr>
            <w:tcW w:w="4594" w:type="dxa"/>
            <w:shd w:val="clear" w:color="auto" w:fill="FFFFFF" w:themeFill="background1"/>
          </w:tcPr>
          <w:p>
            <w:pPr>
              <w:widowControl/>
              <w:spacing w:line="288" w:lineRule="auto"/>
              <w:jc w:val="center"/>
              <w:rPr>
                <w:rFonts w:ascii="微软雅黑" w:hAnsi="微软雅黑" w:eastAsia="微软雅黑" w:cs="Arial"/>
                <w:kern w:val="0"/>
                <w:sz w:val="22"/>
              </w:rPr>
            </w:pPr>
            <w:r>
              <w:rPr>
                <w:rFonts w:hint="eastAsia" w:ascii="微软雅黑" w:hAnsi="微软雅黑" w:eastAsia="微软雅黑" w:cs="Arial"/>
                <w:color w:val="000000"/>
                <w:sz w:val="22"/>
              </w:rPr>
              <w:t>课程内容</w:t>
            </w:r>
          </w:p>
        </w:tc>
        <w:tc>
          <w:tcPr>
            <w:tcW w:w="1893" w:type="dxa"/>
            <w:shd w:val="clear" w:color="auto" w:fill="FFFFFF" w:themeFill="background1"/>
          </w:tcPr>
          <w:p>
            <w:pPr>
              <w:widowControl/>
              <w:spacing w:line="288" w:lineRule="auto"/>
              <w:jc w:val="center"/>
              <w:rPr>
                <w:rFonts w:ascii="微软雅黑" w:hAnsi="微软雅黑" w:eastAsia="微软雅黑" w:cs="Arial"/>
                <w:kern w:val="0"/>
                <w:sz w:val="22"/>
              </w:rPr>
            </w:pPr>
            <w:r>
              <w:rPr>
                <w:rFonts w:hint="eastAsia" w:ascii="微软雅黑" w:hAnsi="微软雅黑" w:eastAsia="微软雅黑" w:cs="Times New Roman"/>
                <w:color w:val="000000"/>
                <w:sz w:val="22"/>
              </w:rPr>
              <w:t>实战演练输出</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PrEx>
        <w:trPr>
          <w:trHeight w:val="473" w:hRule="atLeast"/>
        </w:trPr>
        <w:tc>
          <w:tcPr>
            <w:tcW w:w="694" w:type="dxa"/>
            <w:shd w:val="clear" w:color="auto" w:fill="FFFFFF" w:themeFill="background1"/>
          </w:tcPr>
          <w:p>
            <w:pPr>
              <w:widowControl/>
              <w:spacing w:line="288" w:lineRule="auto"/>
              <w:jc w:val="center"/>
              <w:rPr>
                <w:rFonts w:ascii="微软雅黑" w:hAnsi="微软雅黑" w:eastAsia="微软雅黑" w:cs="Arial"/>
                <w:kern w:val="0"/>
                <w:sz w:val="22"/>
              </w:rPr>
            </w:pPr>
          </w:p>
        </w:tc>
        <w:tc>
          <w:tcPr>
            <w:tcW w:w="2317" w:type="dxa"/>
            <w:shd w:val="clear" w:color="auto" w:fill="FFFFFF" w:themeFill="background1"/>
          </w:tcPr>
          <w:p>
            <w:pPr>
              <w:widowControl/>
              <w:spacing w:line="288" w:lineRule="auto"/>
              <w:jc w:val="center"/>
              <w:rPr>
                <w:rFonts w:hint="default" w:ascii="微软雅黑" w:hAnsi="微软雅黑" w:eastAsia="微软雅黑" w:cs="Arial"/>
                <w:color w:val="000000"/>
                <w:sz w:val="22"/>
                <w:lang w:val="en-US" w:eastAsia="zh-CN"/>
              </w:rPr>
            </w:pPr>
            <w:r>
              <w:rPr>
                <w:rFonts w:hint="eastAsia" w:ascii="微软雅黑" w:hAnsi="微软雅黑" w:eastAsia="微软雅黑" w:cs="Arial"/>
                <w:color w:val="000000"/>
                <w:sz w:val="22"/>
                <w:lang w:val="en-US" w:eastAsia="zh-CN"/>
              </w:rPr>
              <w:t>调研</w:t>
            </w:r>
          </w:p>
        </w:tc>
        <w:tc>
          <w:tcPr>
            <w:tcW w:w="4594" w:type="dxa"/>
            <w:shd w:val="clear" w:color="auto" w:fill="FFFFFF" w:themeFill="background1"/>
          </w:tcPr>
          <w:p>
            <w:pPr>
              <w:widowControl/>
              <w:spacing w:line="288" w:lineRule="auto"/>
              <w:jc w:val="center"/>
              <w:rPr>
                <w:rFonts w:hint="default" w:ascii="微软雅黑" w:hAnsi="微软雅黑" w:eastAsia="微软雅黑" w:cs="Arial"/>
                <w:color w:val="000000"/>
                <w:sz w:val="22"/>
                <w:lang w:val="en-US"/>
              </w:rPr>
            </w:pPr>
            <w:r>
              <w:rPr>
                <w:rFonts w:hint="eastAsia" w:ascii="微软雅黑" w:hAnsi="微软雅黑" w:eastAsia="微软雅黑" w:cs="Arial"/>
                <w:color w:val="000000"/>
                <w:sz w:val="22"/>
              </w:rPr>
              <w:t>对</w:t>
            </w:r>
            <w:r>
              <w:rPr>
                <w:rFonts w:hint="eastAsia" w:ascii="微软雅黑" w:hAnsi="微软雅黑" w:eastAsia="微软雅黑" w:cs="Arial"/>
                <w:color w:val="000000"/>
                <w:sz w:val="22"/>
                <w:lang w:val="en-US" w:eastAsia="zh-CN"/>
              </w:rPr>
              <w:t>重要员工</w:t>
            </w:r>
            <w:r>
              <w:rPr>
                <w:rFonts w:hint="eastAsia" w:ascii="微软雅黑" w:hAnsi="微软雅黑" w:eastAsia="微软雅黑" w:cs="Arial"/>
                <w:color w:val="000000"/>
                <w:sz w:val="22"/>
              </w:rPr>
              <w:t>进行</w:t>
            </w:r>
            <w:r>
              <w:rPr>
                <w:rFonts w:hint="eastAsia" w:ascii="微软雅黑" w:hAnsi="微软雅黑" w:eastAsia="微软雅黑" w:cs="Arial"/>
                <w:color w:val="000000"/>
                <w:sz w:val="22"/>
                <w:lang w:val="en-US" w:eastAsia="zh-CN"/>
              </w:rPr>
              <w:t>电话访谈以及问卷调研</w:t>
            </w:r>
          </w:p>
        </w:tc>
        <w:tc>
          <w:tcPr>
            <w:tcW w:w="1893" w:type="dxa"/>
            <w:shd w:val="clear" w:color="auto" w:fill="FFFFFF" w:themeFill="background1"/>
          </w:tcPr>
          <w:p>
            <w:pPr>
              <w:widowControl/>
              <w:spacing w:line="288" w:lineRule="auto"/>
              <w:jc w:val="center"/>
              <w:rPr>
                <w:rFonts w:hint="default" w:ascii="微软雅黑" w:hAnsi="微软雅黑" w:eastAsia="微软雅黑" w:cs="Times New Roman"/>
                <w:color w:val="000000"/>
                <w:sz w:val="22"/>
                <w:lang w:val="en-US" w:eastAsia="zh-CN"/>
              </w:rPr>
            </w:pPr>
            <w:r>
              <w:rPr>
                <w:rFonts w:hint="eastAsia" w:ascii="微软雅黑" w:hAnsi="微软雅黑" w:eastAsia="微软雅黑" w:cs="Times New Roman"/>
                <w:color w:val="000000"/>
                <w:sz w:val="22"/>
                <w:lang w:val="en-US" w:eastAsia="zh-CN"/>
              </w:rPr>
              <w:t>调研记录表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425" w:hRule="atLeast"/>
        </w:trPr>
        <w:tc>
          <w:tcPr>
            <w:tcW w:w="694" w:type="dxa"/>
            <w:shd w:val="clear" w:color="auto" w:fill="FFFFFF" w:themeFill="background1"/>
          </w:tcPr>
          <w:p>
            <w:pPr>
              <w:widowControl/>
              <w:spacing w:line="288" w:lineRule="auto"/>
              <w:rPr>
                <w:rFonts w:ascii="微软雅黑" w:hAnsi="微软雅黑" w:eastAsia="微软雅黑" w:cs="Times New Roman"/>
                <w:color w:val="000000"/>
                <w:sz w:val="22"/>
              </w:rPr>
            </w:pPr>
          </w:p>
        </w:tc>
        <w:tc>
          <w:tcPr>
            <w:tcW w:w="8804" w:type="dxa"/>
            <w:gridSpan w:val="3"/>
            <w:shd w:val="clear" w:color="auto" w:fill="DBE5F1" w:themeFill="accent1" w:themeFillTint="33"/>
          </w:tcPr>
          <w:p>
            <w:pPr>
              <w:widowControl/>
              <w:spacing w:line="320" w:lineRule="exact"/>
              <w:jc w:val="center"/>
              <w:rPr>
                <w:rFonts w:hint="eastAsia" w:ascii="微软雅黑" w:hAnsi="微软雅黑" w:eastAsia="微软雅黑" w:cs="Times New Roman"/>
                <w:b/>
                <w:bCs/>
                <w:color w:val="000000"/>
                <w:sz w:val="22"/>
              </w:rPr>
            </w:pPr>
            <w:r>
              <w:rPr>
                <w:rFonts w:hint="eastAsia" w:ascii="微软雅黑" w:hAnsi="微软雅黑" w:eastAsia="微软雅黑" w:cs="Times New Roman"/>
                <w:b/>
                <w:bCs/>
                <w:color w:val="000000"/>
                <w:sz w:val="22"/>
              </w:rPr>
              <w:t>第一次训战（两天，每天09:00</w:t>
            </w:r>
            <w:r>
              <w:rPr>
                <w:rFonts w:ascii="微软雅黑" w:hAnsi="微软雅黑" w:eastAsia="微软雅黑" w:cs="Times New Roman"/>
                <w:b/>
                <w:bCs/>
                <w:color w:val="000000"/>
                <w:sz w:val="22"/>
              </w:rPr>
              <w:t>—17</w:t>
            </w:r>
            <w:r>
              <w:rPr>
                <w:rFonts w:hint="eastAsia" w:ascii="微软雅黑" w:hAnsi="微软雅黑" w:eastAsia="微软雅黑" w:cs="Times New Roman"/>
                <w:b/>
                <w:bCs/>
                <w:color w:val="000000"/>
                <w:sz w:val="22"/>
              </w:rPr>
              <w:t>:</w:t>
            </w:r>
            <w:r>
              <w:rPr>
                <w:rFonts w:ascii="微软雅黑" w:hAnsi="微软雅黑" w:eastAsia="微软雅黑" w:cs="Times New Roman"/>
                <w:b/>
                <w:bCs/>
                <w:color w:val="000000"/>
                <w:sz w:val="22"/>
              </w:rPr>
              <w:t>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1056" w:hRule="atLeast"/>
        </w:trPr>
        <w:tc>
          <w:tcPr>
            <w:tcW w:w="694" w:type="dxa"/>
            <w:vMerge w:val="restart"/>
            <w:shd w:val="clear" w:color="auto" w:fill="FFFFFF" w:themeFill="background1"/>
          </w:tcPr>
          <w:p>
            <w:pPr>
              <w:widowControl/>
              <w:spacing w:line="320" w:lineRule="exact"/>
              <w:jc w:val="center"/>
              <w:rPr>
                <w:rFonts w:ascii="微软雅黑" w:hAnsi="微软雅黑" w:eastAsia="微软雅黑" w:cs="Arial"/>
                <w:b/>
                <w:bCs/>
                <w:kern w:val="0"/>
                <w:sz w:val="22"/>
              </w:rPr>
            </w:pPr>
          </w:p>
          <w:p>
            <w:pPr>
              <w:widowControl/>
              <w:spacing w:line="320" w:lineRule="exact"/>
              <w:jc w:val="center"/>
              <w:rPr>
                <w:rFonts w:ascii="微软雅黑" w:hAnsi="微软雅黑" w:eastAsia="微软雅黑" w:cs="Arial"/>
                <w:b/>
                <w:bCs/>
                <w:kern w:val="0"/>
                <w:sz w:val="22"/>
              </w:rPr>
            </w:pPr>
          </w:p>
          <w:p>
            <w:pPr>
              <w:widowControl/>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概</w:t>
            </w:r>
          </w:p>
          <w:p>
            <w:pPr>
              <w:widowControl/>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述</w:t>
            </w:r>
          </w:p>
        </w:tc>
        <w:tc>
          <w:tcPr>
            <w:tcW w:w="2317" w:type="dxa"/>
            <w:shd w:val="clear" w:color="auto" w:fill="FFFFFF" w:themeFill="background1"/>
          </w:tcPr>
          <w:p>
            <w:pPr>
              <w:widowControl/>
              <w:spacing w:line="320" w:lineRule="exact"/>
              <w:jc w:val="center"/>
              <w:rPr>
                <w:rFonts w:ascii="微软雅黑" w:hAnsi="微软雅黑" w:eastAsia="微软雅黑" w:cs="Times New Roman"/>
                <w:color w:val="000000"/>
                <w:sz w:val="22"/>
              </w:rPr>
            </w:pPr>
            <w:r>
              <w:rPr>
                <w:rFonts w:hint="eastAsia" w:ascii="微软雅黑" w:hAnsi="微软雅黑" w:eastAsia="微软雅黑" w:cs="Times New Roman"/>
                <w:color w:val="000000"/>
                <w:sz w:val="22"/>
              </w:rPr>
              <w:t>第一章</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color w:val="000000"/>
                <w:sz w:val="22"/>
              </w:rPr>
              <w:t>BLM：持续有效增长之道</w:t>
            </w:r>
          </w:p>
        </w:tc>
        <w:tc>
          <w:tcPr>
            <w:tcW w:w="4594" w:type="dxa"/>
            <w:shd w:val="clear" w:color="auto" w:fill="FFFFFF" w:themeFill="background1"/>
          </w:tcPr>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1、要向华为学什么？</w:t>
            </w:r>
          </w:p>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2、如何翻越企业增长困境</w:t>
            </w:r>
          </w:p>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3、BLM业务领先模型：方法论、技能与工具</w:t>
            </w:r>
          </w:p>
        </w:tc>
        <w:tc>
          <w:tcPr>
            <w:tcW w:w="1893" w:type="dxa"/>
            <w:shd w:val="clear" w:color="auto" w:fill="FFFFFF" w:themeFill="background1"/>
          </w:tcPr>
          <w:p>
            <w:pPr>
              <w:widowControl/>
              <w:spacing w:line="320" w:lineRule="exact"/>
              <w:jc w:val="center"/>
              <w:rPr>
                <w:rFonts w:ascii="微软雅黑" w:hAnsi="微软雅黑" w:eastAsia="微软雅黑" w:cs="Arial"/>
                <w:kern w:val="0"/>
                <w:sz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995" w:hRule="atLeast"/>
        </w:trPr>
        <w:tc>
          <w:tcPr>
            <w:tcW w:w="694" w:type="dxa"/>
            <w:vMerge w:val="continue"/>
            <w:shd w:val="clear" w:color="auto" w:fill="FFFFFF" w:themeFill="background1"/>
          </w:tcPr>
          <w:p>
            <w:pPr>
              <w:widowControl/>
              <w:spacing w:line="320" w:lineRule="exact"/>
              <w:jc w:val="center"/>
              <w:rPr>
                <w:rFonts w:ascii="微软雅黑" w:hAnsi="微软雅黑" w:eastAsia="微软雅黑" w:cs="Arial"/>
                <w:b/>
                <w:bCs/>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Times New Roman"/>
                <w:color w:val="000000"/>
                <w:sz w:val="22"/>
              </w:rPr>
            </w:pPr>
            <w:r>
              <w:rPr>
                <w:rFonts w:hint="eastAsia" w:ascii="微软雅黑" w:hAnsi="微软雅黑" w:eastAsia="微软雅黑" w:cs="Times New Roman"/>
                <w:color w:val="000000"/>
                <w:sz w:val="22"/>
              </w:rPr>
              <w:t>第二章</w:t>
            </w:r>
          </w:p>
          <w:p>
            <w:pPr>
              <w:widowControl/>
              <w:spacing w:line="320" w:lineRule="exact"/>
              <w:jc w:val="center"/>
              <w:rPr>
                <w:rFonts w:ascii="微软雅黑" w:hAnsi="微软雅黑" w:eastAsia="微软雅黑" w:cs="Times New Roman"/>
                <w:color w:val="000000"/>
                <w:sz w:val="22"/>
              </w:rPr>
            </w:pPr>
            <w:r>
              <w:rPr>
                <w:rFonts w:hint="eastAsia" w:ascii="微软雅黑" w:hAnsi="微软雅黑" w:eastAsia="微软雅黑" w:cs="Times New Roman"/>
                <w:color w:val="000000"/>
                <w:sz w:val="22"/>
              </w:rPr>
              <w:t>领导力与价值观</w:t>
            </w:r>
          </w:p>
        </w:tc>
        <w:tc>
          <w:tcPr>
            <w:tcW w:w="4594" w:type="dxa"/>
            <w:shd w:val="clear" w:color="auto" w:fill="FFFFFF" w:themeFill="background1"/>
          </w:tcPr>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1、战略规划与执行依赖于领导力推动</w:t>
            </w:r>
          </w:p>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2、如何构建战略领导力</w:t>
            </w:r>
          </w:p>
          <w:p>
            <w:pPr>
              <w:widowControl/>
              <w:spacing w:line="320" w:lineRule="exact"/>
              <w:jc w:val="left"/>
              <w:rPr>
                <w:rFonts w:ascii="微软雅黑" w:hAnsi="微软雅黑" w:eastAsia="微软雅黑" w:cs="Times New Roman"/>
                <w:color w:val="000000"/>
                <w:sz w:val="22"/>
              </w:rPr>
            </w:pPr>
            <w:r>
              <w:rPr>
                <w:rFonts w:hint="eastAsia" w:ascii="微软雅黑" w:hAnsi="微软雅黑" w:eastAsia="微软雅黑" w:cs="Times New Roman"/>
                <w:color w:val="000000"/>
                <w:sz w:val="22"/>
              </w:rPr>
              <w:t>3、价值观在战略中发挥的作用</w:t>
            </w:r>
          </w:p>
        </w:tc>
        <w:tc>
          <w:tcPr>
            <w:tcW w:w="1893" w:type="dxa"/>
            <w:shd w:val="clear" w:color="auto" w:fill="FFFFFF" w:themeFill="background1"/>
          </w:tcPr>
          <w:p>
            <w:pPr>
              <w:widowControl/>
              <w:spacing w:line="320" w:lineRule="exact"/>
              <w:jc w:val="center"/>
              <w:rPr>
                <w:rFonts w:ascii="微软雅黑" w:hAnsi="微软雅黑" w:eastAsia="微软雅黑" w:cs="Arial"/>
                <w:kern w:val="0"/>
                <w:sz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907" w:hRule="atLeast"/>
        </w:trPr>
        <w:tc>
          <w:tcPr>
            <w:tcW w:w="694" w:type="dxa"/>
            <w:vMerge w:val="restart"/>
            <w:shd w:val="clear" w:color="auto" w:fill="FFFFFF" w:themeFill="background1"/>
          </w:tcPr>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color w:val="000000"/>
                <w:sz w:val="22"/>
              </w:rPr>
              <w:t>战</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略</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规</w:t>
            </w:r>
          </w:p>
          <w:p>
            <w:pPr>
              <w:widowControl/>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color w:val="000000"/>
                <w:sz w:val="22"/>
              </w:rPr>
              <w:t>划</w:t>
            </w:r>
          </w:p>
          <w:p>
            <w:pPr>
              <w:widowControl/>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color w:val="000000"/>
                <w:sz w:val="22"/>
              </w:rPr>
              <w:t>制</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定</w:t>
            </w:r>
          </w:p>
        </w:tc>
        <w:tc>
          <w:tcPr>
            <w:tcW w:w="2317" w:type="dxa"/>
            <w:shd w:val="clear" w:color="auto" w:fill="FFFFFF" w:themeFill="background1"/>
          </w:tcPr>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第三章</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color w:val="000000"/>
                <w:sz w:val="22"/>
              </w:rPr>
              <w:t>战略制定</w:t>
            </w:r>
            <w:r>
              <w:rPr>
                <w:rFonts w:ascii="微软雅黑" w:hAnsi="微软雅黑" w:eastAsia="微软雅黑" w:cs="Arial"/>
                <w:color w:val="000000"/>
                <w:sz w:val="22"/>
              </w:rPr>
              <w:t>—</w:t>
            </w:r>
            <w:r>
              <w:rPr>
                <w:rFonts w:hint="eastAsia" w:ascii="微软雅黑" w:hAnsi="微软雅黑" w:eastAsia="微软雅黑" w:cs="Arial"/>
                <w:color w:val="000000"/>
                <w:sz w:val="22"/>
              </w:rPr>
              <w:t>分析差距</w:t>
            </w:r>
          </w:p>
        </w:tc>
        <w:tc>
          <w:tcPr>
            <w:tcW w:w="4594" w:type="dxa"/>
            <w:shd w:val="clear" w:color="auto" w:fill="FFFFFF" w:themeFill="background1"/>
          </w:tcPr>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1、从市场结果到增长差距</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2、业绩差距：经营结果与期望值的差距</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3、机会差距：把握战略机会与新的业务设计</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color w:val="000000"/>
                <w:sz w:val="22"/>
              </w:rPr>
              <w:t>4、差距分析演练：MECE原则</w:t>
            </w:r>
          </w:p>
        </w:tc>
        <w:tc>
          <w:tcPr>
            <w:tcW w:w="1893" w:type="dxa"/>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《业务差距分析清单》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988"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第四章</w:t>
            </w:r>
          </w:p>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战略制定</w:t>
            </w:r>
            <w:r>
              <w:rPr>
                <w:rFonts w:ascii="微软雅黑" w:hAnsi="微软雅黑" w:eastAsia="微软雅黑" w:cs="Arial"/>
                <w:color w:val="000000"/>
                <w:sz w:val="22"/>
              </w:rPr>
              <w:t>—</w:t>
            </w:r>
            <w:r>
              <w:rPr>
                <w:rFonts w:hint="eastAsia" w:ascii="微软雅黑" w:hAnsi="微软雅黑" w:eastAsia="微软雅黑" w:cs="Arial"/>
                <w:color w:val="000000"/>
                <w:sz w:val="22"/>
              </w:rPr>
              <w:t>市场洞察</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color w:val="000000"/>
                <w:sz w:val="22"/>
              </w:rPr>
              <w:t>（五看）</w:t>
            </w:r>
          </w:p>
        </w:tc>
        <w:tc>
          <w:tcPr>
            <w:tcW w:w="4594" w:type="dxa"/>
            <w:shd w:val="clear" w:color="auto" w:fill="FFFFFF" w:themeFill="background1"/>
          </w:tcPr>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1、看宏观与行业：PESTEL分析、价值转移与行业趋势分析、识别利润区</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2、看市场与客户：2B、2C业务客户洞察</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3、看竞争：竞争环境分析与超越竞争</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4、看自己：商业模式、经营状况、运营能力</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color w:val="000000"/>
                <w:sz w:val="22"/>
              </w:rPr>
              <w:t>5、看机会：战略机会点、机会窗口，SPAN</w:t>
            </w:r>
          </w:p>
        </w:tc>
        <w:tc>
          <w:tcPr>
            <w:tcW w:w="1893" w:type="dxa"/>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《市场洞察工具》、《客户需求分析工具》、《战略产品竞争工具》、《SPAN工具》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419"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DBE5F1" w:themeFill="accent1" w:themeFillTint="33"/>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b/>
                <w:bCs/>
                <w:color w:val="000000"/>
                <w:sz w:val="22"/>
              </w:rPr>
              <w:t>第一次线上辅导（两周时长，两位顾问</w:t>
            </w:r>
            <w:r>
              <w:rPr>
                <w:rFonts w:ascii="微软雅黑" w:hAnsi="微软雅黑" w:eastAsia="微软雅黑" w:cs="Times New Roman"/>
                <w:b/>
                <w:bCs/>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809"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结合业务实际情况，</w:t>
            </w:r>
            <w:r>
              <w:rPr>
                <w:rFonts w:hint="eastAsia" w:ascii="微软雅黑" w:hAnsi="微软雅黑" w:eastAsia="微软雅黑" w:cs="Arial"/>
                <w:kern w:val="0"/>
                <w:sz w:val="22"/>
                <w:lang w:val="en-US" w:eastAsia="zh-CN"/>
              </w:rPr>
              <w:t>根据导师的要求</w:t>
            </w:r>
            <w:r>
              <w:rPr>
                <w:rFonts w:hint="eastAsia" w:ascii="微软雅黑" w:hAnsi="微软雅黑" w:eastAsia="微软雅黑" w:cs="Arial"/>
                <w:kern w:val="0"/>
                <w:sz w:val="22"/>
              </w:rPr>
              <w:t>进行市场洞察推演，学员必须完成各项演练要求。</w:t>
            </w:r>
            <w:r>
              <w:rPr>
                <w:rFonts w:hint="eastAsia" w:ascii="微软雅黑" w:hAnsi="微软雅黑" w:eastAsia="微软雅黑" w:cs="Arial"/>
                <w:kern w:val="0"/>
                <w:sz w:val="22"/>
                <w:lang w:val="en-US" w:eastAsia="zh-CN"/>
              </w:rPr>
              <w:t>教练</w:t>
            </w:r>
            <w:r>
              <w:rPr>
                <w:rFonts w:hint="eastAsia" w:ascii="微软雅黑" w:hAnsi="微软雅黑" w:eastAsia="微软雅黑" w:cs="Arial"/>
                <w:kern w:val="0"/>
                <w:sz w:val="22"/>
              </w:rPr>
              <w:t>对战略规划的形成过程与结果进行审查与反馈，逐个过关。</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518"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DBE5F1" w:themeFill="accent1" w:themeFillTint="33"/>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b/>
                <w:bCs/>
                <w:color w:val="000000"/>
                <w:sz w:val="22"/>
              </w:rPr>
              <w:t>第二次训战（两天，每天09:00—1</w:t>
            </w:r>
            <w:r>
              <w:rPr>
                <w:rFonts w:ascii="微软雅黑" w:hAnsi="微软雅黑" w:eastAsia="微软雅黑" w:cs="Times New Roman"/>
                <w:b/>
                <w:bCs/>
                <w:color w:val="000000"/>
                <w:sz w:val="22"/>
              </w:rPr>
              <w:t>7</w:t>
            </w:r>
            <w:r>
              <w:rPr>
                <w:rFonts w:hint="eastAsia" w:ascii="微软雅黑" w:hAnsi="微软雅黑" w:eastAsia="微软雅黑" w:cs="Times New Roman"/>
                <w:b/>
                <w:bCs/>
                <w:color w:val="000000"/>
                <w:sz w:val="22"/>
              </w:rPr>
              <w:t>:</w:t>
            </w:r>
            <w:r>
              <w:rPr>
                <w:rFonts w:ascii="微软雅黑" w:hAnsi="微软雅黑" w:eastAsia="微软雅黑" w:cs="Times New Roman"/>
                <w:b/>
                <w:bCs/>
                <w:color w:val="000000"/>
                <w:sz w:val="22"/>
              </w:rPr>
              <w:t>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PrEx>
        <w:trPr>
          <w:trHeight w:val="817"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第五章</w:t>
            </w:r>
          </w:p>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战略制定</w:t>
            </w:r>
            <w:r>
              <w:rPr>
                <w:rFonts w:ascii="微软雅黑" w:hAnsi="微软雅黑" w:eastAsia="微软雅黑" w:cs="Arial"/>
                <w:color w:val="000000"/>
                <w:sz w:val="22"/>
              </w:rPr>
              <w:t>—</w:t>
            </w:r>
            <w:r>
              <w:rPr>
                <w:rFonts w:hint="eastAsia" w:ascii="微软雅黑" w:hAnsi="微软雅黑" w:eastAsia="微软雅黑" w:cs="Arial"/>
                <w:color w:val="000000"/>
                <w:sz w:val="22"/>
              </w:rPr>
              <w:t>战略意图</w:t>
            </w:r>
          </w:p>
        </w:tc>
        <w:tc>
          <w:tcPr>
            <w:tcW w:w="4594" w:type="dxa"/>
            <w:shd w:val="clear" w:color="auto" w:fill="FFFFFF" w:themeFill="background1"/>
          </w:tcPr>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1、愿景：去哪里</w:t>
            </w:r>
            <w:r>
              <w:rPr>
                <w:rFonts w:ascii="微软雅黑" w:hAnsi="微软雅黑" w:eastAsia="微软雅黑" w:cs="Arial"/>
                <w:color w:val="000000"/>
                <w:sz w:val="22"/>
              </w:rPr>
              <w:t>—</w:t>
            </w:r>
            <w:r>
              <w:rPr>
                <w:rFonts w:hint="eastAsia" w:ascii="微软雅黑" w:hAnsi="微软雅黑" w:eastAsia="微软雅黑" w:cs="Arial"/>
                <w:color w:val="000000"/>
                <w:sz w:val="22"/>
              </w:rPr>
              <w:t>可持续的，占优势的领先地位</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2、使命：为何去</w:t>
            </w:r>
            <w:r>
              <w:rPr>
                <w:rFonts w:ascii="微软雅黑" w:hAnsi="微软雅黑" w:eastAsia="微软雅黑" w:cs="Arial"/>
                <w:color w:val="000000"/>
                <w:sz w:val="22"/>
              </w:rPr>
              <w:t>—</w:t>
            </w:r>
            <w:r>
              <w:rPr>
                <w:rFonts w:hint="eastAsia" w:ascii="微软雅黑" w:hAnsi="微软雅黑" w:eastAsia="微软雅黑" w:cs="Arial"/>
                <w:color w:val="000000"/>
                <w:sz w:val="22"/>
              </w:rPr>
              <w:t>企业存在的意义</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3、制定短期战略目标及远期战略目标</w:t>
            </w:r>
            <w:r>
              <w:rPr>
                <w:rFonts w:ascii="微软雅黑" w:hAnsi="微软雅黑" w:eastAsia="微软雅黑" w:cs="Arial"/>
                <w:color w:val="000000"/>
                <w:sz w:val="22"/>
              </w:rPr>
              <w:t xml:space="preserve"> </w:t>
            </w:r>
          </w:p>
        </w:tc>
        <w:tc>
          <w:tcPr>
            <w:tcW w:w="1893" w:type="dxa"/>
            <w:shd w:val="clear" w:color="auto" w:fill="FFFFFF" w:themeFill="background1"/>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kern w:val="0"/>
                <w:sz w:val="22"/>
              </w:rPr>
              <w:t>《战略屋</w:t>
            </w:r>
            <w:r>
              <w:rPr>
                <w:rFonts w:ascii="微软雅黑" w:hAnsi="微软雅黑" w:eastAsia="微软雅黑" w:cs="Arial"/>
                <w:kern w:val="0"/>
                <w:sz w:val="22"/>
              </w:rPr>
              <w:t>—</w:t>
            </w:r>
            <w:r>
              <w:rPr>
                <w:rFonts w:hint="eastAsia" w:ascii="微软雅黑" w:hAnsi="微软雅黑" w:eastAsia="微软雅黑" w:cs="Arial"/>
                <w:kern w:val="0"/>
                <w:sz w:val="22"/>
              </w:rPr>
              <w:t>愿景、使命与战略目标体系》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817"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第六章</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color w:val="000000"/>
                <w:sz w:val="22"/>
              </w:rPr>
              <w:t>战略制定</w:t>
            </w:r>
            <w:r>
              <w:rPr>
                <w:rFonts w:ascii="微软雅黑" w:hAnsi="微软雅黑" w:eastAsia="微软雅黑" w:cs="Arial"/>
                <w:color w:val="000000"/>
                <w:sz w:val="22"/>
              </w:rPr>
              <w:t>—</w:t>
            </w:r>
            <w:r>
              <w:rPr>
                <w:rFonts w:hint="eastAsia" w:ascii="微软雅黑" w:hAnsi="微软雅黑" w:eastAsia="微软雅黑" w:cs="Arial"/>
                <w:color w:val="000000"/>
                <w:sz w:val="22"/>
              </w:rPr>
              <w:t>创新焦点</w:t>
            </w:r>
          </w:p>
        </w:tc>
        <w:tc>
          <w:tcPr>
            <w:tcW w:w="4594" w:type="dxa"/>
            <w:shd w:val="clear" w:color="auto" w:fill="FFFFFF" w:themeFill="background1"/>
          </w:tcPr>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1、未来业务组合：发现第二增长曲线</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2、创新模式：四种典型的企业创新模式</w:t>
            </w:r>
          </w:p>
        </w:tc>
        <w:tc>
          <w:tcPr>
            <w:tcW w:w="1893" w:type="dxa"/>
            <w:shd w:val="clear" w:color="auto" w:fill="FFFFFF" w:themeFill="background1"/>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kern w:val="0"/>
                <w:sz w:val="22"/>
              </w:rPr>
              <w:t>《创新组合设计》</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1525"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Arial"/>
                <w:color w:val="000000"/>
                <w:sz w:val="22"/>
              </w:rPr>
            </w:pPr>
            <w:r>
              <w:rPr>
                <w:rFonts w:hint="eastAsia" w:ascii="微软雅黑" w:hAnsi="微软雅黑" w:eastAsia="微软雅黑" w:cs="Arial"/>
                <w:color w:val="000000"/>
                <w:sz w:val="22"/>
              </w:rPr>
              <w:t>第七章</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Arial"/>
                <w:color w:val="000000"/>
                <w:sz w:val="22"/>
              </w:rPr>
              <w:t>战略规划</w:t>
            </w:r>
            <w:r>
              <w:rPr>
                <w:rFonts w:ascii="微软雅黑" w:hAnsi="微软雅黑" w:eastAsia="微软雅黑" w:cs="Arial"/>
                <w:color w:val="000000"/>
                <w:sz w:val="22"/>
              </w:rPr>
              <w:t>—</w:t>
            </w:r>
            <w:r>
              <w:rPr>
                <w:rFonts w:hint="eastAsia" w:ascii="微软雅黑" w:hAnsi="微软雅黑" w:eastAsia="微软雅黑" w:cs="Arial"/>
                <w:color w:val="000000"/>
                <w:sz w:val="22"/>
              </w:rPr>
              <w:t>业务设计</w:t>
            </w:r>
          </w:p>
        </w:tc>
        <w:tc>
          <w:tcPr>
            <w:tcW w:w="4594" w:type="dxa"/>
            <w:shd w:val="clear" w:color="auto" w:fill="FFFFFF" w:themeFill="background1"/>
          </w:tcPr>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1、业务布局：吃着碗里、瞧着锅里、望着田里</w:t>
            </w:r>
          </w:p>
          <w:p>
            <w:pPr>
              <w:widowControl/>
              <w:spacing w:line="320" w:lineRule="exact"/>
              <w:jc w:val="left"/>
              <w:rPr>
                <w:rFonts w:ascii="微软雅黑" w:hAnsi="微软雅黑" w:eastAsia="微软雅黑" w:cs="Arial"/>
                <w:color w:val="000000"/>
                <w:sz w:val="22"/>
              </w:rPr>
            </w:pPr>
            <w:r>
              <w:rPr>
                <w:rFonts w:hint="eastAsia" w:ascii="微软雅黑" w:hAnsi="微软雅黑" w:eastAsia="微软雅黑" w:cs="Arial"/>
                <w:color w:val="000000"/>
                <w:sz w:val="22"/>
              </w:rPr>
              <w:t>2、业务模式设计十步法：目标客户、客户偏好、价值增值、选择我们、价值获得、目前业务、对手业务、战略控制、未来业务、公司价值</w:t>
            </w:r>
          </w:p>
        </w:tc>
        <w:tc>
          <w:tcPr>
            <w:tcW w:w="1893" w:type="dxa"/>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《业务设计十步法》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450"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DBE5F1" w:themeFill="accent1" w:themeFillTint="33"/>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b/>
                <w:bCs/>
                <w:color w:val="000000"/>
                <w:sz w:val="22"/>
              </w:rPr>
              <w:t>第二次线上辅导（两周时长，两位顾问</w:t>
            </w:r>
            <w:r>
              <w:rPr>
                <w:rFonts w:ascii="微软雅黑" w:hAnsi="微软雅黑" w:eastAsia="微软雅黑" w:cs="Times New Roman"/>
                <w:b/>
                <w:bCs/>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812"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结合业务实际情况，</w:t>
            </w:r>
            <w:r>
              <w:rPr>
                <w:rFonts w:hint="eastAsia" w:ascii="微软雅黑" w:hAnsi="微软雅黑" w:eastAsia="微软雅黑" w:cs="Arial"/>
                <w:kern w:val="0"/>
                <w:sz w:val="22"/>
                <w:lang w:val="en-US" w:eastAsia="zh-CN"/>
              </w:rPr>
              <w:t>根据导师的要求</w:t>
            </w:r>
            <w:r>
              <w:rPr>
                <w:rFonts w:hint="eastAsia" w:ascii="微软雅黑" w:hAnsi="微软雅黑" w:eastAsia="微软雅黑" w:cs="Arial"/>
                <w:kern w:val="0"/>
                <w:sz w:val="22"/>
              </w:rPr>
              <w:t>进行业务设计推演，学员必须完成各项演练要求。</w:t>
            </w:r>
            <w:r>
              <w:rPr>
                <w:rFonts w:hint="eastAsia" w:ascii="微软雅黑" w:hAnsi="微软雅黑" w:eastAsia="微软雅黑" w:cs="Arial"/>
                <w:kern w:val="0"/>
                <w:sz w:val="22"/>
                <w:lang w:val="en-US" w:eastAsia="zh-CN"/>
              </w:rPr>
              <w:t>教练</w:t>
            </w:r>
            <w:r>
              <w:rPr>
                <w:rFonts w:hint="eastAsia" w:ascii="微软雅黑" w:hAnsi="微软雅黑" w:eastAsia="微软雅黑" w:cs="Arial"/>
                <w:kern w:val="0"/>
                <w:sz w:val="22"/>
              </w:rPr>
              <w:t>对战略规划的形成过程与结果进行审查与反馈，逐个过关。</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541" w:hRule="atLeast"/>
        </w:trPr>
        <w:tc>
          <w:tcPr>
            <w:tcW w:w="694" w:type="dxa"/>
            <w:vMerge w:val="restart"/>
            <w:shd w:val="clear" w:color="auto" w:fill="FFFFFF" w:themeFill="background1"/>
          </w:tcPr>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p>
          <w:p>
            <w:pPr>
              <w:widowControl/>
              <w:spacing w:line="320" w:lineRule="exact"/>
              <w:jc w:val="center"/>
              <w:rPr>
                <w:rFonts w:ascii="微软雅黑" w:hAnsi="微软雅黑" w:eastAsia="微软雅黑" w:cs="Arial"/>
                <w:b/>
                <w:bCs/>
                <w:color w:val="000000"/>
                <w:sz w:val="22"/>
              </w:rPr>
            </w:pPr>
            <w:r>
              <w:rPr>
                <w:rFonts w:hint="eastAsia" w:ascii="微软雅黑" w:hAnsi="微软雅黑" w:eastAsia="微软雅黑" w:cs="Arial"/>
                <w:b/>
                <w:bCs/>
                <w:color w:val="000000"/>
                <w:sz w:val="22"/>
              </w:rPr>
              <w:t>战</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略</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解</w:t>
            </w:r>
            <w:r>
              <w:rPr>
                <w:rFonts w:hint="eastAsia" w:ascii="微软雅黑" w:hAnsi="微软雅黑" w:eastAsia="微软雅黑" w:cs="Arial"/>
                <w:b/>
                <w:bCs/>
                <w:color w:val="000000"/>
                <w:sz w:val="22"/>
              </w:rPr>
              <w:br w:type="textWrapping"/>
            </w:r>
            <w:r>
              <w:rPr>
                <w:rFonts w:hint="eastAsia" w:ascii="微软雅黑" w:hAnsi="微软雅黑" w:eastAsia="微软雅黑" w:cs="Arial"/>
                <w:b/>
                <w:bCs/>
                <w:color w:val="000000"/>
                <w:sz w:val="22"/>
              </w:rPr>
              <w:t>码</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到</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年</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度</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经</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营</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计</w:t>
            </w:r>
          </w:p>
          <w:p>
            <w:pPr>
              <w:spacing w:line="320" w:lineRule="exact"/>
              <w:jc w:val="center"/>
              <w:rPr>
                <w:rFonts w:ascii="微软雅黑" w:hAnsi="微软雅黑" w:eastAsia="微软雅黑" w:cs="Arial"/>
                <w:b/>
                <w:bCs/>
                <w:kern w:val="0"/>
                <w:sz w:val="22"/>
              </w:rPr>
            </w:pPr>
            <w:r>
              <w:rPr>
                <w:rFonts w:hint="eastAsia" w:ascii="微软雅黑" w:hAnsi="微软雅黑" w:eastAsia="微软雅黑" w:cs="Arial"/>
                <w:b/>
                <w:bCs/>
                <w:kern w:val="0"/>
                <w:sz w:val="22"/>
              </w:rPr>
              <w:t>划</w:t>
            </w:r>
          </w:p>
        </w:tc>
        <w:tc>
          <w:tcPr>
            <w:tcW w:w="8804" w:type="dxa"/>
            <w:gridSpan w:val="3"/>
            <w:shd w:val="clear" w:color="auto" w:fill="DBE5F1" w:themeFill="accent1" w:themeFillTint="33"/>
          </w:tcPr>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b/>
                <w:bCs/>
                <w:color w:val="000000"/>
                <w:sz w:val="22"/>
              </w:rPr>
              <w:t>第三次训战（两天，每天09:00—1</w:t>
            </w:r>
            <w:r>
              <w:rPr>
                <w:rFonts w:ascii="微软雅黑" w:hAnsi="微软雅黑" w:eastAsia="微软雅黑" w:cs="Times New Roman"/>
                <w:b/>
                <w:bCs/>
                <w:color w:val="000000"/>
                <w:sz w:val="22"/>
              </w:rPr>
              <w:t>7</w:t>
            </w:r>
            <w:r>
              <w:rPr>
                <w:rFonts w:hint="eastAsia" w:ascii="微软雅黑" w:hAnsi="微软雅黑" w:eastAsia="微软雅黑" w:cs="Times New Roman"/>
                <w:b/>
                <w:bCs/>
                <w:color w:val="000000"/>
                <w:sz w:val="22"/>
              </w:rPr>
              <w:t>:</w:t>
            </w:r>
            <w:r>
              <w:rPr>
                <w:rFonts w:ascii="微软雅黑" w:hAnsi="微软雅黑" w:eastAsia="微软雅黑" w:cs="Times New Roman"/>
                <w:b/>
                <w:bCs/>
                <w:color w:val="000000"/>
                <w:sz w:val="22"/>
              </w:rPr>
              <w:t>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958" w:hRule="atLeast"/>
        </w:trPr>
        <w:tc>
          <w:tcPr>
            <w:tcW w:w="694" w:type="dxa"/>
            <w:vMerge w:val="continue"/>
            <w:shd w:val="clear" w:color="auto" w:fill="FFFFFF" w:themeFill="background1"/>
          </w:tcPr>
          <w:p>
            <w:pPr>
              <w:widowControl/>
              <w:spacing w:line="320" w:lineRule="exact"/>
              <w:jc w:val="center"/>
              <w:rPr>
                <w:rFonts w:ascii="微软雅黑" w:hAnsi="微软雅黑" w:eastAsia="微软雅黑" w:cs="Arial"/>
                <w:kern w:val="0"/>
                <w:sz w:val="22"/>
              </w:rPr>
            </w:pPr>
          </w:p>
        </w:tc>
        <w:tc>
          <w:tcPr>
            <w:tcW w:w="2317" w:type="dxa"/>
            <w:shd w:val="clear" w:color="auto" w:fill="FFFFFF" w:themeFill="background1"/>
          </w:tcPr>
          <w:p>
            <w:pPr>
              <w:widowControl/>
              <w:spacing w:line="320" w:lineRule="exact"/>
              <w:jc w:val="center"/>
              <w:rPr>
                <w:rFonts w:ascii="微软雅黑" w:hAnsi="微软雅黑" w:eastAsia="微软雅黑" w:cs="Times New Roman"/>
                <w:color w:val="000000"/>
                <w:sz w:val="22"/>
              </w:rPr>
            </w:pPr>
            <w:r>
              <w:rPr>
                <w:rFonts w:hint="eastAsia" w:ascii="微软雅黑" w:hAnsi="微软雅黑" w:eastAsia="微软雅黑" w:cs="Times New Roman"/>
                <w:color w:val="000000"/>
                <w:sz w:val="22"/>
              </w:rPr>
              <w:t>第八章</w:t>
            </w:r>
          </w:p>
          <w:p>
            <w:pPr>
              <w:widowControl/>
              <w:spacing w:line="320" w:lineRule="exact"/>
              <w:jc w:val="center"/>
              <w:rPr>
                <w:rFonts w:ascii="微软雅黑" w:hAnsi="微软雅黑" w:eastAsia="微软雅黑" w:cs="Arial"/>
                <w:kern w:val="0"/>
                <w:sz w:val="22"/>
              </w:rPr>
            </w:pPr>
            <w:r>
              <w:rPr>
                <w:rFonts w:hint="eastAsia" w:ascii="微软雅黑" w:hAnsi="微软雅黑" w:eastAsia="微软雅黑" w:cs="Times New Roman"/>
                <w:color w:val="000000"/>
                <w:sz w:val="22"/>
              </w:rPr>
              <w:t>战略解码</w:t>
            </w:r>
            <w:r>
              <w:rPr>
                <w:rFonts w:ascii="微软雅黑" w:hAnsi="微软雅黑" w:eastAsia="微软雅黑" w:cs="Times New Roman"/>
                <w:color w:val="000000"/>
                <w:sz w:val="22"/>
              </w:rPr>
              <w:t>—</w:t>
            </w:r>
            <w:r>
              <w:rPr>
                <w:rFonts w:hint="eastAsia" w:ascii="微软雅黑" w:hAnsi="微软雅黑" w:eastAsia="微软雅黑" w:cs="Times New Roman"/>
                <w:color w:val="000000"/>
                <w:sz w:val="22"/>
              </w:rPr>
              <w:t>从战略目标到年度经营计划</w:t>
            </w:r>
          </w:p>
        </w:tc>
        <w:tc>
          <w:tcPr>
            <w:tcW w:w="4594" w:type="dxa"/>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color w:val="000000"/>
                <w:sz w:val="22"/>
              </w:rPr>
              <w:t>1</w:t>
            </w:r>
            <w:r>
              <w:rPr>
                <w:rFonts w:hint="eastAsia" w:ascii="微软雅黑" w:hAnsi="微软雅黑" w:eastAsia="微软雅黑" w:cs="Arial"/>
                <w:kern w:val="0"/>
                <w:sz w:val="22"/>
              </w:rPr>
              <w:t>、OGSM：战略澄清工具</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2、BP解码输入：机会点、经营目标、关键任务/战略举措等</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3、BP解码关键问题识别：价值链梳理、业务关键瓶颈识别、业务痛点识别等</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4、平衡计分卡工具（BSC）：财务、客户、运营、学习与成长</w:t>
            </w:r>
          </w:p>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5、战略目标与年度经营计划层层分解至部门目标责任书及个人绩效PBC。</w:t>
            </w:r>
          </w:p>
        </w:tc>
        <w:tc>
          <w:tcPr>
            <w:tcW w:w="1893" w:type="dxa"/>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《各组织/部门年度经营计划》、《组织KPI及个人绩效PBC》</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463" w:hRule="atLeast"/>
        </w:trPr>
        <w:tc>
          <w:tcPr>
            <w:tcW w:w="694" w:type="dxa"/>
            <w:vMerge w:val="continue"/>
            <w:shd w:val="clear" w:color="auto" w:fill="FFFFFF" w:themeFill="background1"/>
          </w:tcPr>
          <w:p>
            <w:pPr>
              <w:widowControl/>
              <w:spacing w:line="320" w:lineRule="exact"/>
              <w:jc w:val="center"/>
              <w:rPr>
                <w:rFonts w:ascii="微软雅黑" w:hAnsi="微软雅黑" w:eastAsia="微软雅黑" w:cs="Arial"/>
                <w:b/>
                <w:bCs/>
                <w:kern w:val="0"/>
                <w:sz w:val="22"/>
              </w:rPr>
            </w:pPr>
          </w:p>
        </w:tc>
        <w:tc>
          <w:tcPr>
            <w:tcW w:w="8804" w:type="dxa"/>
            <w:gridSpan w:val="3"/>
            <w:shd w:val="clear" w:color="auto" w:fill="DBE5F1" w:themeFill="accent1" w:themeFillTint="33"/>
          </w:tcPr>
          <w:p>
            <w:pPr>
              <w:widowControl/>
              <w:spacing w:line="320" w:lineRule="exact"/>
              <w:jc w:val="center"/>
              <w:rPr>
                <w:rFonts w:ascii="微软雅黑" w:hAnsi="微软雅黑" w:eastAsia="微软雅黑" w:cs="Times New Roman"/>
                <w:b/>
                <w:bCs/>
                <w:color w:val="000000"/>
                <w:sz w:val="22"/>
              </w:rPr>
            </w:pPr>
            <w:r>
              <w:rPr>
                <w:rFonts w:hint="eastAsia" w:ascii="微软雅黑" w:hAnsi="微软雅黑" w:eastAsia="微软雅黑" w:cs="Times New Roman"/>
                <w:b/>
                <w:bCs/>
                <w:color w:val="000000"/>
                <w:sz w:val="22"/>
              </w:rPr>
              <w:t>第三次线上辅导（两周时长，两位顾问</w:t>
            </w:r>
            <w:r>
              <w:rPr>
                <w:rFonts w:ascii="微软雅黑" w:hAnsi="微软雅黑" w:eastAsia="微软雅黑" w:cs="Times New Roman"/>
                <w:b/>
                <w:bCs/>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1108" w:hRule="atLeast"/>
        </w:trPr>
        <w:tc>
          <w:tcPr>
            <w:tcW w:w="694" w:type="dxa"/>
            <w:vMerge w:val="continue"/>
            <w:shd w:val="clear" w:color="auto" w:fill="FFFFFF" w:themeFill="background1"/>
          </w:tcPr>
          <w:p>
            <w:pPr>
              <w:widowControl/>
              <w:spacing w:line="320" w:lineRule="exact"/>
              <w:jc w:val="left"/>
              <w:rPr>
                <w:rFonts w:ascii="微软雅黑" w:hAnsi="微软雅黑" w:eastAsia="微软雅黑" w:cs="Arial"/>
                <w:b/>
                <w:bCs/>
                <w:kern w:val="0"/>
                <w:sz w:val="22"/>
              </w:rPr>
            </w:pPr>
          </w:p>
        </w:tc>
        <w:tc>
          <w:tcPr>
            <w:tcW w:w="8804" w:type="dxa"/>
            <w:gridSpan w:val="3"/>
            <w:shd w:val="clear" w:color="auto" w:fill="FFFFFF" w:themeFill="background1"/>
          </w:tcPr>
          <w:p>
            <w:pPr>
              <w:widowControl/>
              <w:spacing w:line="320" w:lineRule="exact"/>
              <w:jc w:val="left"/>
              <w:rPr>
                <w:rFonts w:hint="eastAsia" w:ascii="微软雅黑" w:hAnsi="微软雅黑" w:eastAsia="微软雅黑" w:cs="Arial"/>
                <w:kern w:val="0"/>
                <w:sz w:val="22"/>
                <w:lang w:eastAsia="zh-CN"/>
              </w:rPr>
            </w:pPr>
            <w:r>
              <w:rPr>
                <w:rFonts w:hint="eastAsia" w:ascii="微软雅黑" w:hAnsi="微软雅黑" w:eastAsia="微软雅黑" w:cs="Arial"/>
                <w:kern w:val="0"/>
                <w:sz w:val="22"/>
              </w:rPr>
              <w:t>结合业务实际情况，</w:t>
            </w:r>
            <w:r>
              <w:rPr>
                <w:rFonts w:hint="eastAsia" w:ascii="微软雅黑" w:hAnsi="微软雅黑" w:eastAsia="微软雅黑" w:cs="Arial"/>
                <w:kern w:val="0"/>
                <w:sz w:val="22"/>
                <w:lang w:val="en-US" w:eastAsia="zh-CN"/>
              </w:rPr>
              <w:t>根据导师的要求进行战略解码和年度经营计划的制定，</w:t>
            </w:r>
            <w:r>
              <w:rPr>
                <w:rFonts w:hint="eastAsia" w:ascii="微软雅黑" w:hAnsi="微软雅黑" w:eastAsia="微软雅黑" w:cs="Arial"/>
                <w:kern w:val="0"/>
                <w:sz w:val="22"/>
              </w:rPr>
              <w:t>学员</w:t>
            </w:r>
            <w:r>
              <w:rPr>
                <w:rFonts w:hint="eastAsia" w:ascii="微软雅黑" w:hAnsi="微软雅黑" w:eastAsia="微软雅黑" w:cs="Arial"/>
                <w:kern w:val="0"/>
                <w:sz w:val="22"/>
                <w:lang w:val="en-US" w:eastAsia="zh-CN"/>
              </w:rPr>
              <w:t>必须</w:t>
            </w:r>
            <w:r>
              <w:rPr>
                <w:rFonts w:hint="eastAsia" w:ascii="微软雅黑" w:hAnsi="微软雅黑" w:eastAsia="微软雅黑" w:cs="Arial"/>
                <w:kern w:val="0"/>
                <w:sz w:val="22"/>
              </w:rPr>
              <w:t>完成各项演练要求</w:t>
            </w:r>
            <w:r>
              <w:rPr>
                <w:rFonts w:hint="eastAsia" w:ascii="微软雅黑" w:hAnsi="微软雅黑" w:eastAsia="微软雅黑" w:cs="Arial"/>
                <w:kern w:val="0"/>
                <w:sz w:val="22"/>
                <w:lang w:eastAsia="zh-CN"/>
              </w:rPr>
              <w:t>。</w:t>
            </w:r>
            <w:r>
              <w:rPr>
                <w:rFonts w:hint="eastAsia" w:ascii="微软雅黑" w:hAnsi="微软雅黑" w:eastAsia="微软雅黑" w:cs="Arial"/>
                <w:kern w:val="0"/>
                <w:sz w:val="22"/>
                <w:lang w:val="en-US" w:eastAsia="zh-CN"/>
              </w:rPr>
              <w:t>教练</w:t>
            </w:r>
            <w:r>
              <w:rPr>
                <w:rFonts w:hint="eastAsia" w:ascii="微软雅黑" w:hAnsi="微软雅黑" w:eastAsia="微软雅黑" w:cs="Arial"/>
                <w:kern w:val="0"/>
                <w:sz w:val="22"/>
              </w:rPr>
              <w:t>对战略</w:t>
            </w:r>
            <w:r>
              <w:rPr>
                <w:rFonts w:hint="eastAsia" w:ascii="微软雅黑" w:hAnsi="微软雅黑" w:eastAsia="微软雅黑" w:cs="Arial"/>
                <w:kern w:val="0"/>
                <w:sz w:val="22"/>
                <w:lang w:val="en-US" w:eastAsia="zh-CN"/>
              </w:rPr>
              <w:t>解码和年度经营计划</w:t>
            </w:r>
            <w:bookmarkStart w:id="2" w:name="_GoBack"/>
            <w:bookmarkEnd w:id="2"/>
            <w:r>
              <w:rPr>
                <w:rFonts w:hint="eastAsia" w:ascii="微软雅黑" w:hAnsi="微软雅黑" w:eastAsia="微软雅黑" w:cs="Arial"/>
                <w:kern w:val="0"/>
                <w:sz w:val="22"/>
              </w:rPr>
              <w:t>的形成过程与结果进行审查与反馈，逐个过关。</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517" w:hRule="atLeast"/>
        </w:trPr>
        <w:tc>
          <w:tcPr>
            <w:tcW w:w="9498" w:type="dxa"/>
            <w:gridSpan w:val="4"/>
            <w:shd w:val="clear" w:color="auto" w:fill="DBE5F1" w:themeFill="accent1" w:themeFillTint="33"/>
          </w:tcPr>
          <w:p>
            <w:pPr>
              <w:widowControl/>
              <w:spacing w:line="320" w:lineRule="exact"/>
              <w:jc w:val="center"/>
              <w:rPr>
                <w:rFonts w:hint="eastAsia" w:ascii="微软雅黑" w:hAnsi="微软雅黑" w:eastAsia="微软雅黑" w:cs="Arial"/>
                <w:kern w:val="0"/>
                <w:sz w:val="22"/>
                <w:lang w:val="en-US" w:eastAsia="zh-CN"/>
              </w:rPr>
            </w:pPr>
            <w:r>
              <w:rPr>
                <w:rFonts w:hint="eastAsia" w:ascii="微软雅黑" w:hAnsi="微软雅黑" w:eastAsia="微软雅黑" w:cs="Times New Roman"/>
                <w:b/>
                <w:bCs/>
                <w:color w:val="000000"/>
                <w:sz w:val="22"/>
              </w:rPr>
              <w:t>誓师大会（半天，1</w:t>
            </w:r>
            <w:r>
              <w:rPr>
                <w:rFonts w:ascii="微软雅黑" w:hAnsi="微软雅黑" w:eastAsia="微软雅黑" w:cs="Times New Roman"/>
                <w:b/>
                <w:bCs/>
                <w:color w:val="000000"/>
                <w:sz w:val="22"/>
              </w:rPr>
              <w:t>4</w:t>
            </w:r>
            <w:r>
              <w:rPr>
                <w:rFonts w:hint="eastAsia" w:ascii="微软雅黑" w:hAnsi="微软雅黑" w:eastAsia="微软雅黑" w:cs="Times New Roman"/>
                <w:b/>
                <w:bCs/>
                <w:color w:val="000000"/>
                <w:sz w:val="22"/>
              </w:rPr>
              <w:t>:00</w:t>
            </w:r>
            <w:r>
              <w:rPr>
                <w:rFonts w:ascii="微软雅黑" w:hAnsi="微软雅黑" w:eastAsia="微软雅黑" w:cs="Times New Roman"/>
                <w:b/>
                <w:bCs/>
                <w:color w:val="000000"/>
                <w:sz w:val="22"/>
              </w:rPr>
              <w:t>—17:00</w:t>
            </w:r>
            <w:r>
              <w:rPr>
                <w:rFonts w:hint="eastAsia" w:ascii="微软雅黑" w:hAnsi="微软雅黑" w:eastAsia="微软雅黑" w:cs="Times New Roman"/>
                <w:b/>
                <w:bCs/>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FFFFFF" w:themeFill="background1"/>
          <w:tblCellMar>
            <w:top w:w="0" w:type="dxa"/>
            <w:left w:w="108" w:type="dxa"/>
            <w:bottom w:w="0" w:type="dxa"/>
            <w:right w:w="108" w:type="dxa"/>
          </w:tblCellMar>
        </w:tblPrEx>
        <w:trPr>
          <w:trHeight w:val="1239" w:hRule="atLeast"/>
        </w:trPr>
        <w:tc>
          <w:tcPr>
            <w:tcW w:w="9498" w:type="dxa"/>
            <w:gridSpan w:val="4"/>
            <w:shd w:val="clear" w:color="auto" w:fill="FFFFFF" w:themeFill="background1"/>
          </w:tcPr>
          <w:p>
            <w:pPr>
              <w:widowControl/>
              <w:spacing w:line="320" w:lineRule="exact"/>
              <w:jc w:val="left"/>
              <w:rPr>
                <w:rFonts w:ascii="微软雅黑" w:hAnsi="微软雅黑" w:eastAsia="微软雅黑" w:cs="Arial"/>
                <w:kern w:val="0"/>
                <w:sz w:val="22"/>
              </w:rPr>
            </w:pPr>
            <w:r>
              <w:rPr>
                <w:rFonts w:hint="eastAsia" w:ascii="微软雅黑" w:hAnsi="微软雅黑" w:eastAsia="微软雅黑" w:cs="Arial"/>
                <w:kern w:val="0"/>
                <w:sz w:val="22"/>
              </w:rPr>
              <w:t>召开誓师大会，与各业务单位一把手签订目标责任书、职能部门负责人签订绩效承诺书。落实中期述职、经营检讨的管理制度。</w:t>
            </w:r>
          </w:p>
        </w:tc>
      </w:tr>
    </w:tbl>
    <w:p>
      <w:pPr>
        <w:spacing w:line="440" w:lineRule="exact"/>
        <w:rPr>
          <w:rFonts w:ascii="微软雅黑" w:hAnsi="微软雅黑" w:eastAsia="微软雅黑"/>
          <w:sz w:val="24"/>
          <w:szCs w:val="24"/>
        </w:rPr>
      </w:pPr>
    </w:p>
    <w:sectPr>
      <w:pgSz w:w="11906" w:h="16838"/>
      <w:pgMar w:top="851"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3067BB"/>
    <w:multiLevelType w:val="multilevel"/>
    <w:tmpl w:val="1D3067B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DEA6245"/>
    <w:multiLevelType w:val="multilevel"/>
    <w:tmpl w:val="1DEA624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9345B8B"/>
    <w:multiLevelType w:val="multilevel"/>
    <w:tmpl w:val="29345B8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374043C6"/>
    <w:multiLevelType w:val="multilevel"/>
    <w:tmpl w:val="374043C6"/>
    <w:lvl w:ilvl="0" w:tentative="0">
      <w:start w:val="1"/>
      <w:numFmt w:val="bullet"/>
      <w:lvlText w:val=""/>
      <w:lvlJc w:val="left"/>
      <w:pPr>
        <w:ind w:left="1470" w:hanging="420"/>
      </w:pPr>
      <w:rPr>
        <w:rFonts w:hint="default" w:ascii="Wingdings" w:hAnsi="Wingdings"/>
      </w:rPr>
    </w:lvl>
    <w:lvl w:ilvl="1" w:tentative="0">
      <w:start w:val="1"/>
      <w:numFmt w:val="bullet"/>
      <w:lvlText w:val=""/>
      <w:lvlJc w:val="left"/>
      <w:pPr>
        <w:ind w:left="1890" w:hanging="420"/>
      </w:pPr>
      <w:rPr>
        <w:rFonts w:hint="default" w:ascii="Wingdings" w:hAnsi="Wingdings"/>
      </w:rPr>
    </w:lvl>
    <w:lvl w:ilvl="2" w:tentative="0">
      <w:start w:val="1"/>
      <w:numFmt w:val="bullet"/>
      <w:lvlText w:val=""/>
      <w:lvlJc w:val="left"/>
      <w:pPr>
        <w:ind w:left="2310" w:hanging="420"/>
      </w:pPr>
      <w:rPr>
        <w:rFonts w:hint="default" w:ascii="Wingdings" w:hAnsi="Wingdings"/>
      </w:rPr>
    </w:lvl>
    <w:lvl w:ilvl="3" w:tentative="0">
      <w:start w:val="1"/>
      <w:numFmt w:val="bullet"/>
      <w:lvlText w:val=""/>
      <w:lvlJc w:val="left"/>
      <w:pPr>
        <w:ind w:left="2730" w:hanging="420"/>
      </w:pPr>
      <w:rPr>
        <w:rFonts w:hint="default" w:ascii="Wingdings" w:hAnsi="Wingdings"/>
      </w:rPr>
    </w:lvl>
    <w:lvl w:ilvl="4" w:tentative="0">
      <w:start w:val="1"/>
      <w:numFmt w:val="bullet"/>
      <w:lvlText w:val=""/>
      <w:lvlJc w:val="left"/>
      <w:pPr>
        <w:ind w:left="3150" w:hanging="420"/>
      </w:pPr>
      <w:rPr>
        <w:rFonts w:hint="default" w:ascii="Wingdings" w:hAnsi="Wingdings"/>
      </w:rPr>
    </w:lvl>
    <w:lvl w:ilvl="5" w:tentative="0">
      <w:start w:val="1"/>
      <w:numFmt w:val="bullet"/>
      <w:lvlText w:val=""/>
      <w:lvlJc w:val="left"/>
      <w:pPr>
        <w:ind w:left="3570" w:hanging="420"/>
      </w:pPr>
      <w:rPr>
        <w:rFonts w:hint="default" w:ascii="Wingdings" w:hAnsi="Wingdings"/>
      </w:rPr>
    </w:lvl>
    <w:lvl w:ilvl="6" w:tentative="0">
      <w:start w:val="1"/>
      <w:numFmt w:val="bullet"/>
      <w:lvlText w:val=""/>
      <w:lvlJc w:val="left"/>
      <w:pPr>
        <w:ind w:left="3990" w:hanging="420"/>
      </w:pPr>
      <w:rPr>
        <w:rFonts w:hint="default" w:ascii="Wingdings" w:hAnsi="Wingdings"/>
      </w:rPr>
    </w:lvl>
    <w:lvl w:ilvl="7" w:tentative="0">
      <w:start w:val="1"/>
      <w:numFmt w:val="bullet"/>
      <w:lvlText w:val=""/>
      <w:lvlJc w:val="left"/>
      <w:pPr>
        <w:ind w:left="4410" w:hanging="420"/>
      </w:pPr>
      <w:rPr>
        <w:rFonts w:hint="default" w:ascii="Wingdings" w:hAnsi="Wingdings"/>
      </w:rPr>
    </w:lvl>
    <w:lvl w:ilvl="8" w:tentative="0">
      <w:start w:val="1"/>
      <w:numFmt w:val="bullet"/>
      <w:lvlText w:val=""/>
      <w:lvlJc w:val="left"/>
      <w:pPr>
        <w:ind w:left="4830" w:hanging="420"/>
      </w:pPr>
      <w:rPr>
        <w:rFonts w:hint="default" w:ascii="Wingdings" w:hAnsi="Wingdings"/>
      </w:rPr>
    </w:lvl>
  </w:abstractNum>
  <w:abstractNum w:abstractNumId="4">
    <w:nsid w:val="37613FED"/>
    <w:multiLevelType w:val="multilevel"/>
    <w:tmpl w:val="37613FE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A1329D0"/>
    <w:multiLevelType w:val="multilevel"/>
    <w:tmpl w:val="3A1329D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4ACA7691"/>
    <w:multiLevelType w:val="multilevel"/>
    <w:tmpl w:val="4ACA769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7">
    <w:nsid w:val="54CE284D"/>
    <w:multiLevelType w:val="multilevel"/>
    <w:tmpl w:val="54CE284D"/>
    <w:lvl w:ilvl="0" w:tentative="0">
      <w:start w:val="1"/>
      <w:numFmt w:val="bullet"/>
      <w:lvlText w:val=""/>
      <w:lvlJc w:val="left"/>
      <w:pPr>
        <w:ind w:left="630" w:hanging="420"/>
      </w:pPr>
      <w:rPr>
        <w:rFonts w:hint="default" w:ascii="Wingdings" w:hAnsi="Wingdings"/>
      </w:rPr>
    </w:lvl>
    <w:lvl w:ilvl="1" w:tentative="0">
      <w:start w:val="1"/>
      <w:numFmt w:val="bullet"/>
      <w:lvlText w:val=""/>
      <w:lvlJc w:val="left"/>
      <w:pPr>
        <w:ind w:left="1050" w:hanging="420"/>
      </w:pPr>
      <w:rPr>
        <w:rFonts w:hint="default" w:ascii="Wingdings" w:hAnsi="Wingdings"/>
      </w:rPr>
    </w:lvl>
    <w:lvl w:ilvl="2" w:tentative="0">
      <w:start w:val="1"/>
      <w:numFmt w:val="bullet"/>
      <w:lvlText w:val=""/>
      <w:lvlJc w:val="left"/>
      <w:pPr>
        <w:ind w:left="1470" w:hanging="420"/>
      </w:pPr>
      <w:rPr>
        <w:rFonts w:hint="default" w:ascii="Wingdings" w:hAnsi="Wingdings"/>
      </w:rPr>
    </w:lvl>
    <w:lvl w:ilvl="3" w:tentative="0">
      <w:start w:val="1"/>
      <w:numFmt w:val="bullet"/>
      <w:lvlText w:val=""/>
      <w:lvlJc w:val="left"/>
      <w:pPr>
        <w:ind w:left="1890" w:hanging="420"/>
      </w:pPr>
      <w:rPr>
        <w:rFonts w:hint="default" w:ascii="Wingdings" w:hAnsi="Wingdings"/>
      </w:rPr>
    </w:lvl>
    <w:lvl w:ilvl="4" w:tentative="0">
      <w:start w:val="1"/>
      <w:numFmt w:val="bullet"/>
      <w:lvlText w:val=""/>
      <w:lvlJc w:val="left"/>
      <w:pPr>
        <w:ind w:left="2310" w:hanging="420"/>
      </w:pPr>
      <w:rPr>
        <w:rFonts w:hint="default" w:ascii="Wingdings" w:hAnsi="Wingdings"/>
      </w:rPr>
    </w:lvl>
    <w:lvl w:ilvl="5" w:tentative="0">
      <w:start w:val="1"/>
      <w:numFmt w:val="bullet"/>
      <w:lvlText w:val=""/>
      <w:lvlJc w:val="left"/>
      <w:pPr>
        <w:ind w:left="2730" w:hanging="420"/>
      </w:pPr>
      <w:rPr>
        <w:rFonts w:hint="default" w:ascii="Wingdings" w:hAnsi="Wingdings"/>
      </w:rPr>
    </w:lvl>
    <w:lvl w:ilvl="6" w:tentative="0">
      <w:start w:val="1"/>
      <w:numFmt w:val="bullet"/>
      <w:lvlText w:val=""/>
      <w:lvlJc w:val="left"/>
      <w:pPr>
        <w:ind w:left="3150" w:hanging="420"/>
      </w:pPr>
      <w:rPr>
        <w:rFonts w:hint="default" w:ascii="Wingdings" w:hAnsi="Wingdings"/>
      </w:rPr>
    </w:lvl>
    <w:lvl w:ilvl="7" w:tentative="0">
      <w:start w:val="1"/>
      <w:numFmt w:val="bullet"/>
      <w:lvlText w:val=""/>
      <w:lvlJc w:val="left"/>
      <w:pPr>
        <w:ind w:left="3570" w:hanging="420"/>
      </w:pPr>
      <w:rPr>
        <w:rFonts w:hint="default" w:ascii="Wingdings" w:hAnsi="Wingdings"/>
      </w:rPr>
    </w:lvl>
    <w:lvl w:ilvl="8" w:tentative="0">
      <w:start w:val="1"/>
      <w:numFmt w:val="bullet"/>
      <w:lvlText w:val=""/>
      <w:lvlJc w:val="left"/>
      <w:pPr>
        <w:ind w:left="3990" w:hanging="420"/>
      </w:pPr>
      <w:rPr>
        <w:rFonts w:hint="default" w:ascii="Wingdings" w:hAnsi="Wingdings"/>
      </w:rPr>
    </w:lvl>
  </w:abstractNum>
  <w:abstractNum w:abstractNumId="8">
    <w:nsid w:val="75A627BC"/>
    <w:multiLevelType w:val="multilevel"/>
    <w:tmpl w:val="75A627BC"/>
    <w:lvl w:ilvl="0" w:tentative="0">
      <w:start w:val="1"/>
      <w:numFmt w:val="bullet"/>
      <w:lvlText w:val=""/>
      <w:lvlJc w:val="left"/>
      <w:pPr>
        <w:ind w:left="2100" w:hanging="420"/>
      </w:pPr>
      <w:rPr>
        <w:rFonts w:hint="default" w:ascii="Wingdings" w:hAnsi="Wingdings"/>
      </w:rPr>
    </w:lvl>
    <w:lvl w:ilvl="1" w:tentative="0">
      <w:start w:val="1"/>
      <w:numFmt w:val="bullet"/>
      <w:lvlText w:val=""/>
      <w:lvlJc w:val="left"/>
      <w:pPr>
        <w:ind w:left="2520" w:hanging="420"/>
      </w:pPr>
      <w:rPr>
        <w:rFonts w:hint="default" w:ascii="Wingdings" w:hAnsi="Wingdings"/>
      </w:rPr>
    </w:lvl>
    <w:lvl w:ilvl="2" w:tentative="0">
      <w:start w:val="1"/>
      <w:numFmt w:val="bullet"/>
      <w:lvlText w:val=""/>
      <w:lvlJc w:val="left"/>
      <w:pPr>
        <w:ind w:left="2940" w:hanging="420"/>
      </w:pPr>
      <w:rPr>
        <w:rFonts w:hint="default" w:ascii="Wingdings" w:hAnsi="Wingdings"/>
      </w:rPr>
    </w:lvl>
    <w:lvl w:ilvl="3" w:tentative="0">
      <w:start w:val="1"/>
      <w:numFmt w:val="bullet"/>
      <w:lvlText w:val=""/>
      <w:lvlJc w:val="left"/>
      <w:pPr>
        <w:ind w:left="3360" w:hanging="420"/>
      </w:pPr>
      <w:rPr>
        <w:rFonts w:hint="default" w:ascii="Wingdings" w:hAnsi="Wingdings"/>
      </w:rPr>
    </w:lvl>
    <w:lvl w:ilvl="4" w:tentative="0">
      <w:start w:val="1"/>
      <w:numFmt w:val="bullet"/>
      <w:lvlText w:val=""/>
      <w:lvlJc w:val="left"/>
      <w:pPr>
        <w:ind w:left="3780" w:hanging="420"/>
      </w:pPr>
      <w:rPr>
        <w:rFonts w:hint="default" w:ascii="Wingdings" w:hAnsi="Wingdings"/>
      </w:rPr>
    </w:lvl>
    <w:lvl w:ilvl="5" w:tentative="0">
      <w:start w:val="1"/>
      <w:numFmt w:val="bullet"/>
      <w:lvlText w:val=""/>
      <w:lvlJc w:val="left"/>
      <w:pPr>
        <w:ind w:left="4200" w:hanging="420"/>
      </w:pPr>
      <w:rPr>
        <w:rFonts w:hint="default" w:ascii="Wingdings" w:hAnsi="Wingdings"/>
      </w:rPr>
    </w:lvl>
    <w:lvl w:ilvl="6" w:tentative="0">
      <w:start w:val="1"/>
      <w:numFmt w:val="bullet"/>
      <w:lvlText w:val=""/>
      <w:lvlJc w:val="left"/>
      <w:pPr>
        <w:ind w:left="4620" w:hanging="420"/>
      </w:pPr>
      <w:rPr>
        <w:rFonts w:hint="default" w:ascii="Wingdings" w:hAnsi="Wingdings"/>
      </w:rPr>
    </w:lvl>
    <w:lvl w:ilvl="7" w:tentative="0">
      <w:start w:val="1"/>
      <w:numFmt w:val="bullet"/>
      <w:lvlText w:val=""/>
      <w:lvlJc w:val="left"/>
      <w:pPr>
        <w:ind w:left="5040" w:hanging="420"/>
      </w:pPr>
      <w:rPr>
        <w:rFonts w:hint="default" w:ascii="Wingdings" w:hAnsi="Wingdings"/>
      </w:rPr>
    </w:lvl>
    <w:lvl w:ilvl="8" w:tentative="0">
      <w:start w:val="1"/>
      <w:numFmt w:val="bullet"/>
      <w:lvlText w:val=""/>
      <w:lvlJc w:val="left"/>
      <w:pPr>
        <w:ind w:left="5460" w:hanging="420"/>
      </w:pPr>
      <w:rPr>
        <w:rFonts w:hint="default" w:ascii="Wingdings" w:hAnsi="Wingdings"/>
      </w:rPr>
    </w:lvl>
  </w:abstractNum>
  <w:abstractNum w:abstractNumId="9">
    <w:nsid w:val="76F44990"/>
    <w:multiLevelType w:val="multilevel"/>
    <w:tmpl w:val="76F4499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num w:numId="1">
    <w:abstractNumId w:val="1"/>
  </w:num>
  <w:num w:numId="2">
    <w:abstractNumId w:val="5"/>
  </w:num>
  <w:num w:numId="3">
    <w:abstractNumId w:val="6"/>
  </w:num>
  <w:num w:numId="4">
    <w:abstractNumId w:val="7"/>
  </w:num>
  <w:num w:numId="5">
    <w:abstractNumId w:val="8"/>
  </w:num>
  <w:num w:numId="6">
    <w:abstractNumId w:val="3"/>
  </w:num>
  <w:num w:numId="7">
    <w:abstractNumId w:val="4"/>
  </w:num>
  <w:num w:numId="8">
    <w:abstractNumId w:val="2"/>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DEB"/>
    <w:rsid w:val="0009660A"/>
    <w:rsid w:val="000C60DC"/>
    <w:rsid w:val="000D26BD"/>
    <w:rsid w:val="000D76CD"/>
    <w:rsid w:val="000F1E66"/>
    <w:rsid w:val="0011551A"/>
    <w:rsid w:val="00142A9E"/>
    <w:rsid w:val="00143824"/>
    <w:rsid w:val="001B25BE"/>
    <w:rsid w:val="001B65C4"/>
    <w:rsid w:val="001C40A6"/>
    <w:rsid w:val="001E7C8F"/>
    <w:rsid w:val="0023401E"/>
    <w:rsid w:val="00266B60"/>
    <w:rsid w:val="002B2702"/>
    <w:rsid w:val="00306213"/>
    <w:rsid w:val="003129D2"/>
    <w:rsid w:val="00320C70"/>
    <w:rsid w:val="00335A45"/>
    <w:rsid w:val="00341543"/>
    <w:rsid w:val="00354FCC"/>
    <w:rsid w:val="003E10EF"/>
    <w:rsid w:val="003F4009"/>
    <w:rsid w:val="004160D1"/>
    <w:rsid w:val="004240E0"/>
    <w:rsid w:val="004352A3"/>
    <w:rsid w:val="00444AE6"/>
    <w:rsid w:val="00477B19"/>
    <w:rsid w:val="004E6200"/>
    <w:rsid w:val="00534849"/>
    <w:rsid w:val="0055263F"/>
    <w:rsid w:val="005D24A6"/>
    <w:rsid w:val="005D7F93"/>
    <w:rsid w:val="005F2420"/>
    <w:rsid w:val="00617932"/>
    <w:rsid w:val="0064258B"/>
    <w:rsid w:val="00683788"/>
    <w:rsid w:val="00697764"/>
    <w:rsid w:val="006B1064"/>
    <w:rsid w:val="00707D19"/>
    <w:rsid w:val="007319BD"/>
    <w:rsid w:val="00734DD4"/>
    <w:rsid w:val="00742861"/>
    <w:rsid w:val="007428B8"/>
    <w:rsid w:val="00760D11"/>
    <w:rsid w:val="007A3E03"/>
    <w:rsid w:val="00824F36"/>
    <w:rsid w:val="00831C50"/>
    <w:rsid w:val="008448B0"/>
    <w:rsid w:val="00853AF8"/>
    <w:rsid w:val="00871C05"/>
    <w:rsid w:val="008A7275"/>
    <w:rsid w:val="008F1542"/>
    <w:rsid w:val="00937467"/>
    <w:rsid w:val="00973C65"/>
    <w:rsid w:val="009B11AA"/>
    <w:rsid w:val="009D391A"/>
    <w:rsid w:val="009E15D3"/>
    <w:rsid w:val="00A056D4"/>
    <w:rsid w:val="00A05F2D"/>
    <w:rsid w:val="00A16976"/>
    <w:rsid w:val="00A24E7A"/>
    <w:rsid w:val="00A27DEB"/>
    <w:rsid w:val="00A429D0"/>
    <w:rsid w:val="00A503C1"/>
    <w:rsid w:val="00A85791"/>
    <w:rsid w:val="00AC61C1"/>
    <w:rsid w:val="00AC7015"/>
    <w:rsid w:val="00AE0D78"/>
    <w:rsid w:val="00B11AE9"/>
    <w:rsid w:val="00B12131"/>
    <w:rsid w:val="00B335BA"/>
    <w:rsid w:val="00B340C3"/>
    <w:rsid w:val="00B7442A"/>
    <w:rsid w:val="00B8650F"/>
    <w:rsid w:val="00BD50D9"/>
    <w:rsid w:val="00BD7802"/>
    <w:rsid w:val="00BF0566"/>
    <w:rsid w:val="00C01223"/>
    <w:rsid w:val="00C05C7C"/>
    <w:rsid w:val="00C211FE"/>
    <w:rsid w:val="00C65CD2"/>
    <w:rsid w:val="00C94730"/>
    <w:rsid w:val="00CC4DD2"/>
    <w:rsid w:val="00CF5680"/>
    <w:rsid w:val="00D105F2"/>
    <w:rsid w:val="00D96A30"/>
    <w:rsid w:val="00DA101A"/>
    <w:rsid w:val="00DC6912"/>
    <w:rsid w:val="00DD0204"/>
    <w:rsid w:val="00DD300F"/>
    <w:rsid w:val="00DD592D"/>
    <w:rsid w:val="00DF48F0"/>
    <w:rsid w:val="00DF5A0D"/>
    <w:rsid w:val="00E93823"/>
    <w:rsid w:val="00EB6A13"/>
    <w:rsid w:val="00ED3443"/>
    <w:rsid w:val="00EE52DA"/>
    <w:rsid w:val="00EF6ABA"/>
    <w:rsid w:val="00F53BBD"/>
    <w:rsid w:val="191D6F10"/>
    <w:rsid w:val="20826E0B"/>
    <w:rsid w:val="6DE5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link w:val="14"/>
    <w:qFormat/>
    <w:uiPriority w:val="10"/>
    <w:pPr>
      <w:spacing w:before="240" w:after="60"/>
      <w:jc w:val="center"/>
      <w:outlineLvl w:val="0"/>
    </w:pPr>
    <w:rPr>
      <w:rFonts w:eastAsia="宋体" w:asciiTheme="majorHAnsi" w:hAnsiTheme="majorHAnsi" w:cstheme="majorBidi"/>
      <w:b/>
      <w:bCs/>
      <w:sz w:val="32"/>
      <w:szCs w:val="32"/>
    </w:rPr>
  </w:style>
  <w:style w:type="table" w:styleId="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4"/>
    <w:uiPriority w:val="99"/>
    <w:rPr>
      <w:sz w:val="18"/>
      <w:szCs w:val="18"/>
    </w:rPr>
  </w:style>
  <w:style w:type="character" w:customStyle="1" w:styleId="11">
    <w:name w:val="页脚 字符"/>
    <w:basedOn w:val="9"/>
    <w:link w:val="3"/>
    <w:uiPriority w:val="99"/>
    <w:rPr>
      <w:sz w:val="18"/>
      <w:szCs w:val="18"/>
    </w:rPr>
  </w:style>
  <w:style w:type="character" w:customStyle="1" w:styleId="12">
    <w:name w:val="标题 2 字符"/>
    <w:basedOn w:val="9"/>
    <w:link w:val="2"/>
    <w:uiPriority w:val="9"/>
    <w:rPr>
      <w:rFonts w:asciiTheme="majorHAnsi" w:hAnsiTheme="majorHAnsi" w:eastAsiaTheme="majorEastAsia" w:cstheme="majorBidi"/>
      <w:b/>
      <w:bCs/>
      <w:sz w:val="32"/>
      <w:szCs w:val="32"/>
    </w:rPr>
  </w:style>
  <w:style w:type="paragraph" w:styleId="13">
    <w:name w:val="List Paragraph"/>
    <w:basedOn w:val="1"/>
    <w:qFormat/>
    <w:uiPriority w:val="34"/>
    <w:pPr>
      <w:ind w:firstLine="420" w:firstLineChars="200"/>
    </w:pPr>
  </w:style>
  <w:style w:type="character" w:customStyle="1" w:styleId="14">
    <w:name w:val="标题 字符"/>
    <w:basedOn w:val="9"/>
    <w:link w:val="6"/>
    <w:uiPriority w:val="10"/>
    <w:rPr>
      <w:rFonts w:eastAsia="宋体" w:asciiTheme="majorHAnsi" w:hAnsiTheme="majorHAnsi" w:cstheme="majorBidi"/>
      <w:b/>
      <w:bCs/>
      <w:sz w:val="32"/>
      <w:szCs w:val="32"/>
    </w:rPr>
  </w:style>
  <w:style w:type="table" w:customStyle="1" w:styleId="15">
    <w:name w:val="Grid Table 2 Accent 1"/>
    <w:basedOn w:val="7"/>
    <w:uiPriority w:val="47"/>
    <w:tblPr>
      <w:tblBorders>
        <w:top w:val="single" w:color="95B3D7" w:themeColor="accent1" w:themeTint="99" w:sz="2" w:space="0"/>
        <w:bottom w:val="single" w:color="95B3D7" w:themeColor="accent1" w:themeTint="99" w:sz="2" w:space="0"/>
        <w:insideH w:val="single" w:color="95B3D7" w:themeColor="accent1" w:themeTint="99" w:sz="2" w:space="0"/>
        <w:insideV w:val="single" w:color="95B3D7" w:themeColor="accent1" w:themeTint="99" w:sz="2" w:space="0"/>
      </w:tblBorders>
    </w:tblPr>
    <w:tblStylePr w:type="firstRow">
      <w:rPr>
        <w:b/>
        <w:bCs/>
      </w:rPr>
      <w:tcPr>
        <w:tcBorders>
          <w:top w:val="nil"/>
          <w:bottom w:val="single" w:color="95B3D7" w:themeColor="accent1" w:themeTint="99" w:sz="12" w:space="0"/>
          <w:insideH w:val="nil"/>
          <w:insideV w:val="nil"/>
        </w:tcBorders>
        <w:shd w:val="clear" w:color="auto" w:fill="FFFFFF" w:themeFill="background1"/>
      </w:tcPr>
    </w:tblStylePr>
    <w:tblStylePr w:type="lastRow">
      <w:rPr>
        <w:b/>
        <w:bCs/>
      </w:rPr>
      <w:tcPr>
        <w:tcBorders>
          <w:top w:val="double" w:color="95B3D7"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A60D1-6807-42F8-8B12-EBE9326D3114}">
  <ds:schemaRefs/>
</ds:datastoreItem>
</file>

<file path=docProps/app.xml><?xml version="1.0" encoding="utf-8"?>
<Properties xmlns="http://schemas.openxmlformats.org/officeDocument/2006/extended-properties" xmlns:vt="http://schemas.openxmlformats.org/officeDocument/2006/docPropsVTypes">
  <Template>Normal</Template>
  <Company>Users</Company>
  <Pages>4</Pages>
  <Words>351</Words>
  <Characters>2001</Characters>
  <Lines>16</Lines>
  <Paragraphs>4</Paragraphs>
  <TotalTime>0</TotalTime>
  <ScaleCrop>false</ScaleCrop>
  <LinksUpToDate>false</LinksUpToDate>
  <CharactersWithSpaces>2348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2021-09-07T09:02:00Z</dcterms:created>
  <dc:creator>Windows 用户</dc:creator>
  <cp:lastModifiedBy>南石</cp:lastModifiedBy>
  <dcterms:modified xsi:type="dcterms:W3CDTF">2022-02-10T15:56:19Z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02D1A6E1F4B64362BB48D0425D978FE3</vt:lpwstr>
  </property>
</Properties>
</file>