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727" w:rsidRDefault="00F84727" w:rsidP="00F84727">
      <w:pPr>
        <w:jc w:val="center"/>
        <w:rPr>
          <w:rFonts w:ascii="隶书" w:eastAsia="隶书" w:hAnsi="微软雅黑" w:hint="eastAsia"/>
          <w:b/>
          <w:bCs/>
          <w:sz w:val="52"/>
          <w:szCs w:val="52"/>
        </w:rPr>
      </w:pPr>
      <w:r w:rsidRPr="004E11D0">
        <w:rPr>
          <w:rFonts w:ascii="隶书" w:eastAsia="隶书" w:hAnsi="微软雅黑" w:hint="eastAsia"/>
          <w:b/>
          <w:bCs/>
          <w:sz w:val="52"/>
          <w:szCs w:val="52"/>
        </w:rPr>
        <w:t>国企薪酬绩效改革</w:t>
      </w:r>
    </w:p>
    <w:p w:rsidR="0008075A" w:rsidRPr="0008075A" w:rsidRDefault="0008075A" w:rsidP="00F84727">
      <w:pPr>
        <w:jc w:val="center"/>
        <w:rPr>
          <w:rFonts w:ascii="微软雅黑" w:eastAsia="微软雅黑" w:hAnsi="微软雅黑"/>
          <w:b/>
          <w:bCs/>
          <w:sz w:val="24"/>
        </w:rPr>
      </w:pPr>
      <w:proofErr w:type="gramStart"/>
      <w:r w:rsidRPr="0008075A">
        <w:rPr>
          <w:rFonts w:ascii="微软雅黑" w:eastAsia="微软雅黑" w:hAnsi="微软雅黑" w:hint="eastAsia"/>
          <w:b/>
          <w:bCs/>
          <w:sz w:val="24"/>
        </w:rPr>
        <w:t>冯</w:t>
      </w:r>
      <w:proofErr w:type="gramEnd"/>
      <w:r>
        <w:rPr>
          <w:rFonts w:ascii="微软雅黑" w:eastAsia="微软雅黑" w:hAnsi="微软雅黑" w:hint="eastAsia"/>
          <w:b/>
          <w:bCs/>
          <w:sz w:val="24"/>
        </w:rPr>
        <w:t xml:space="preserve">  </w:t>
      </w:r>
      <w:r w:rsidRPr="0008075A">
        <w:rPr>
          <w:rFonts w:ascii="微软雅黑" w:eastAsia="微软雅黑" w:hAnsi="微软雅黑" w:hint="eastAsia"/>
          <w:b/>
          <w:bCs/>
          <w:sz w:val="24"/>
        </w:rPr>
        <w:t>涛</w:t>
      </w:r>
    </w:p>
    <w:p w:rsidR="00F84727" w:rsidRPr="004E11D0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【培训前言】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国企效率低下的主要原因是分配机制不合理，大锅饭现象严重，大锅饭带来最大的问题就是员工人浮于事，积极性低，企业竞争力差。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如果要提高员工积极性，在人力资源管理上必须从两方面解决：</w:t>
      </w:r>
    </w:p>
    <w:p w:rsidR="00F84727" w:rsidRPr="004E11D0" w:rsidRDefault="00F84727" w:rsidP="00F84727">
      <w:pPr>
        <w:numPr>
          <w:ilvl w:val="0"/>
          <w:numId w:val="8"/>
        </w:numPr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体制上进行调整</w:t>
      </w:r>
    </w:p>
    <w:p w:rsidR="00F84727" w:rsidRPr="004E11D0" w:rsidRDefault="00F84727" w:rsidP="00F84727">
      <w:pPr>
        <w:numPr>
          <w:ilvl w:val="0"/>
          <w:numId w:val="8"/>
        </w:numPr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机制上进行改善</w:t>
      </w:r>
    </w:p>
    <w:p w:rsidR="00F84727" w:rsidRPr="004E11D0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【培训</w:t>
      </w:r>
      <w:r w:rsidRPr="004E11D0">
        <w:rPr>
          <w:rFonts w:ascii="微软雅黑" w:eastAsia="微软雅黑" w:hAnsi="微软雅黑"/>
          <w:b/>
          <w:bCs/>
          <w:sz w:val="24"/>
        </w:rPr>
        <w:t>收益</w:t>
      </w:r>
      <w:r w:rsidRPr="004E11D0">
        <w:rPr>
          <w:rFonts w:ascii="微软雅黑" w:eastAsia="微软雅黑" w:hAnsi="微软雅黑" w:hint="eastAsia"/>
          <w:b/>
          <w:bCs/>
          <w:sz w:val="24"/>
        </w:rPr>
        <w:t>】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1</w:t>
      </w:r>
      <w:r w:rsidRPr="004E11D0">
        <w:rPr>
          <w:rFonts w:ascii="微软雅黑" w:eastAsia="微软雅黑" w:hAnsi="微软雅黑" w:hint="eastAsia"/>
          <w:sz w:val="24"/>
        </w:rPr>
        <w:t>、全面了解现代企业薪酬体系设计的常用方法与流程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2</w:t>
      </w:r>
      <w:r w:rsidRPr="004E11D0">
        <w:rPr>
          <w:rFonts w:ascii="微软雅黑" w:eastAsia="微软雅黑" w:hAnsi="微软雅黑" w:hint="eastAsia"/>
          <w:sz w:val="24"/>
        </w:rPr>
        <w:t>、国企薪酬改革的大环境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3、岗位设计以及人员定编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4、学习如何处理</w:t>
      </w:r>
      <w:r w:rsidR="00980369" w:rsidRPr="004E11D0">
        <w:rPr>
          <w:rFonts w:ascii="微软雅黑" w:eastAsia="微软雅黑" w:hAnsi="微软雅黑" w:hint="eastAsia"/>
          <w:sz w:val="24"/>
        </w:rPr>
        <w:t>国企</w:t>
      </w:r>
      <w:r w:rsidRPr="004E11D0">
        <w:rPr>
          <w:rFonts w:ascii="微软雅黑" w:eastAsia="微软雅黑" w:hAnsi="微软雅黑" w:hint="eastAsia"/>
          <w:sz w:val="24"/>
        </w:rPr>
        <w:t>薪酬改革过程中的具体操作问题</w:t>
      </w:r>
    </w:p>
    <w:p w:rsidR="00F84727" w:rsidRPr="004E11D0" w:rsidRDefault="00F84727" w:rsidP="00F84727">
      <w:pPr>
        <w:ind w:firstLineChars="200" w:firstLine="48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5、国企</w:t>
      </w:r>
      <w:r w:rsidR="004E11D0" w:rsidRPr="004E11D0">
        <w:rPr>
          <w:rFonts w:ascii="微软雅黑" w:eastAsia="微软雅黑" w:hAnsi="微软雅黑" w:hint="eastAsia"/>
          <w:sz w:val="24"/>
        </w:rPr>
        <w:t>薪酬</w:t>
      </w:r>
      <w:r w:rsidRPr="004E11D0">
        <w:rPr>
          <w:rFonts w:ascii="微软雅黑" w:eastAsia="微软雅黑" w:hAnsi="微软雅黑" w:hint="eastAsia"/>
          <w:sz w:val="24"/>
        </w:rPr>
        <w:t>绩效改革的设计</w:t>
      </w:r>
    </w:p>
    <w:p w:rsidR="00F84727" w:rsidRPr="004E11D0" w:rsidRDefault="00F84727" w:rsidP="00F84727">
      <w:pPr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【培训对象】</w:t>
      </w:r>
      <w:r w:rsidRPr="004E11D0">
        <w:rPr>
          <w:rFonts w:ascii="微软雅黑" w:eastAsia="微软雅黑" w:hAnsi="微软雅黑" w:hint="eastAsia"/>
          <w:sz w:val="24"/>
        </w:rPr>
        <w:t>董事长、总经理、人力资源管理者、薪酬、绩效管理者</w:t>
      </w:r>
    </w:p>
    <w:p w:rsidR="00F84727" w:rsidRPr="004E11D0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【培训时长】</w:t>
      </w:r>
      <w:r w:rsidR="006C5754" w:rsidRPr="004E11D0">
        <w:rPr>
          <w:rFonts w:ascii="微软雅黑" w:eastAsia="微软雅黑" w:hAnsi="微软雅黑" w:hint="eastAsia"/>
          <w:sz w:val="24"/>
        </w:rPr>
        <w:t>1-</w:t>
      </w:r>
      <w:r w:rsidR="006C5754" w:rsidRPr="004E11D0">
        <w:rPr>
          <w:rFonts w:ascii="微软雅黑" w:eastAsia="微软雅黑" w:hAnsi="微软雅黑"/>
          <w:sz w:val="24"/>
        </w:rPr>
        <w:t>4</w:t>
      </w:r>
      <w:r w:rsidRPr="004E11D0">
        <w:rPr>
          <w:rFonts w:ascii="微软雅黑" w:eastAsia="微软雅黑" w:hAnsi="微软雅黑" w:hint="eastAsia"/>
          <w:sz w:val="24"/>
        </w:rPr>
        <w:t>天</w:t>
      </w:r>
    </w:p>
    <w:p w:rsidR="00F84727" w:rsidRPr="004E11D0" w:rsidRDefault="00F84727" w:rsidP="00F84727">
      <w:pPr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【课程大纲】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一、《关于改革国有企业工资决定机制的意见》解读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1、基本原则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2、国企三种分类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3、工资决定机制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4</w:t>
      </w:r>
      <w:r w:rsidRPr="004E11D0">
        <w:rPr>
          <w:rFonts w:ascii="微软雅黑" w:eastAsia="微软雅黑" w:hAnsi="微软雅黑" w:hint="eastAsia"/>
          <w:sz w:val="24"/>
        </w:rPr>
        <w:t>、注意事项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lastRenderedPageBreak/>
        <w:t>二、国企薪酬总额操作步骤及案例分析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1</w:t>
      </w:r>
      <w:r w:rsidRPr="004E11D0">
        <w:rPr>
          <w:rFonts w:ascii="微软雅黑" w:eastAsia="微软雅黑" w:hAnsi="微软雅黑" w:hint="eastAsia"/>
          <w:sz w:val="24"/>
        </w:rPr>
        <w:t>、确定工资总额的影响因素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2、</w:t>
      </w:r>
      <w:r w:rsidRPr="004E11D0">
        <w:rPr>
          <w:rFonts w:ascii="微软雅黑" w:eastAsia="微软雅黑" w:hAnsi="微软雅黑"/>
          <w:sz w:val="24"/>
        </w:rPr>
        <w:t>确定工资模式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3</w:t>
      </w:r>
      <w:r w:rsidRPr="004E11D0">
        <w:rPr>
          <w:rFonts w:ascii="微软雅黑" w:eastAsia="微软雅黑" w:hAnsi="微软雅黑" w:hint="eastAsia"/>
          <w:sz w:val="24"/>
        </w:rPr>
        <w:t>、建立工资投入产出评价制度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4</w:t>
      </w:r>
      <w:r w:rsidRPr="004E11D0">
        <w:rPr>
          <w:rFonts w:ascii="微软雅黑" w:eastAsia="微软雅黑" w:hAnsi="微软雅黑" w:hint="eastAsia"/>
          <w:sz w:val="24"/>
        </w:rPr>
        <w:t>、自主编制工资总额预算方案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/>
          <w:b/>
          <w:bCs/>
          <w:sz w:val="24"/>
        </w:rPr>
        <w:t>三</w:t>
      </w:r>
      <w:r w:rsidRPr="004E11D0">
        <w:rPr>
          <w:rFonts w:ascii="微软雅黑" w:eastAsia="微软雅黑" w:hAnsi="微软雅黑" w:hint="eastAsia"/>
          <w:b/>
          <w:bCs/>
          <w:sz w:val="24"/>
        </w:rPr>
        <w:t>、国企部门职责和岗位设计以及人员定编</w:t>
      </w:r>
    </w:p>
    <w:p w:rsidR="00F84727" w:rsidRPr="004E11D0" w:rsidRDefault="00980369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1、</w:t>
      </w:r>
      <w:r w:rsidR="00F84727" w:rsidRPr="004E11D0">
        <w:rPr>
          <w:rFonts w:ascii="微软雅黑" w:eastAsia="微软雅黑" w:hAnsi="微软雅黑" w:hint="eastAsia"/>
          <w:sz w:val="24"/>
        </w:rPr>
        <w:t>国企各部门职能的编制</w:t>
      </w:r>
    </w:p>
    <w:p w:rsidR="00F84727" w:rsidRPr="004E11D0" w:rsidRDefault="00980369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2、</w:t>
      </w:r>
      <w:r w:rsidR="00F84727" w:rsidRPr="004E11D0">
        <w:rPr>
          <w:rFonts w:ascii="微软雅黑" w:eastAsia="微软雅黑" w:hAnsi="微软雅黑" w:hint="eastAsia"/>
          <w:sz w:val="24"/>
        </w:rPr>
        <w:t>国企如何编写岗位说明书</w:t>
      </w:r>
    </w:p>
    <w:p w:rsidR="00F84727" w:rsidRPr="004E11D0" w:rsidRDefault="00980369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3、</w:t>
      </w:r>
      <w:r w:rsidR="00F84727" w:rsidRPr="004E11D0">
        <w:rPr>
          <w:rFonts w:ascii="微软雅黑" w:eastAsia="微软雅黑" w:hAnsi="微软雅黑"/>
          <w:sz w:val="24"/>
        </w:rPr>
        <w:t>国企员工岗位说明书的六部分内容</w:t>
      </w:r>
    </w:p>
    <w:p w:rsidR="00F84727" w:rsidRPr="004E11D0" w:rsidRDefault="00980369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4、</w:t>
      </w:r>
      <w:r w:rsidR="00F84727" w:rsidRPr="004E11D0">
        <w:rPr>
          <w:rFonts w:ascii="微软雅黑" w:eastAsia="微软雅黑" w:hAnsi="微软雅黑" w:hint="eastAsia"/>
          <w:sz w:val="24"/>
        </w:rPr>
        <w:t>国企员工人员定编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/>
          <w:color w:val="0070C0"/>
          <w:sz w:val="24"/>
        </w:rPr>
        <w:t>案例</w:t>
      </w:r>
      <w:r w:rsidRPr="0008075A">
        <w:rPr>
          <w:rFonts w:ascii="微软雅黑" w:eastAsia="微软雅黑" w:hAnsi="微软雅黑" w:hint="eastAsia"/>
          <w:color w:val="0070C0"/>
          <w:sz w:val="24"/>
        </w:rPr>
        <w:t>：</w:t>
      </w:r>
      <w:proofErr w:type="gramStart"/>
      <w:r w:rsidRPr="0008075A">
        <w:rPr>
          <w:rFonts w:ascii="微软雅黑" w:eastAsia="微软雅黑" w:hAnsi="微软雅黑"/>
          <w:color w:val="0070C0"/>
          <w:sz w:val="24"/>
        </w:rPr>
        <w:t>某央企人员</w:t>
      </w:r>
      <w:proofErr w:type="gramEnd"/>
      <w:r w:rsidRPr="0008075A">
        <w:rPr>
          <w:rFonts w:ascii="微软雅黑" w:eastAsia="微软雅黑" w:hAnsi="微软雅黑"/>
          <w:color w:val="0070C0"/>
          <w:sz w:val="24"/>
        </w:rPr>
        <w:t>定编案例分析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四、薪酬体系与国企薪酬诊断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1</w:t>
      </w:r>
      <w:r w:rsidRPr="004E11D0">
        <w:rPr>
          <w:rFonts w:ascii="微软雅黑" w:eastAsia="微软雅黑" w:hAnsi="微软雅黑" w:hint="eastAsia"/>
          <w:sz w:val="24"/>
        </w:rPr>
        <w:t>、全面薪酬概念及其构成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2</w:t>
      </w:r>
      <w:r w:rsidRPr="004E11D0">
        <w:rPr>
          <w:rFonts w:ascii="微软雅黑" w:eastAsia="微软雅黑" w:hAnsi="微软雅黑" w:hint="eastAsia"/>
          <w:sz w:val="24"/>
        </w:rPr>
        <w:t>、薪酬概念的理解及其工作中的应用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3、薪酬的设计</w:t>
      </w:r>
      <w:r w:rsidRPr="004E11D0">
        <w:rPr>
          <w:rFonts w:ascii="微软雅黑" w:eastAsia="微软雅黑" w:hAnsi="微软雅黑"/>
          <w:sz w:val="24"/>
        </w:rPr>
        <w:t>原则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 w:hint="eastAsia"/>
          <w:color w:val="0070C0"/>
          <w:sz w:val="24"/>
        </w:rPr>
        <w:t>案例</w:t>
      </w:r>
      <w:r w:rsidRPr="0008075A">
        <w:rPr>
          <w:rFonts w:ascii="微软雅黑" w:eastAsia="微软雅黑" w:hAnsi="微软雅黑"/>
          <w:color w:val="0070C0"/>
          <w:sz w:val="24"/>
        </w:rPr>
        <w:t>：</w:t>
      </w:r>
      <w:proofErr w:type="gramStart"/>
      <w:r w:rsidRPr="0008075A">
        <w:rPr>
          <w:rFonts w:ascii="微软雅黑" w:eastAsia="微软雅黑" w:hAnsi="微软雅黑"/>
          <w:color w:val="0070C0"/>
          <w:sz w:val="24"/>
        </w:rPr>
        <w:t>某央企</w:t>
      </w:r>
      <w:proofErr w:type="gramEnd"/>
      <w:r w:rsidRPr="0008075A">
        <w:rPr>
          <w:rFonts w:ascii="微软雅黑" w:eastAsia="微软雅黑" w:hAnsi="微软雅黑"/>
          <w:color w:val="0070C0"/>
          <w:sz w:val="24"/>
        </w:rPr>
        <w:t>薪酬</w:t>
      </w:r>
      <w:r w:rsidRPr="0008075A">
        <w:rPr>
          <w:rFonts w:ascii="微软雅黑" w:eastAsia="微软雅黑" w:hAnsi="微软雅黑" w:hint="eastAsia"/>
          <w:color w:val="0070C0"/>
          <w:sz w:val="24"/>
        </w:rPr>
        <w:t>调研</w:t>
      </w:r>
      <w:r w:rsidRPr="0008075A">
        <w:rPr>
          <w:rFonts w:ascii="微软雅黑" w:eastAsia="微软雅黑" w:hAnsi="微软雅黑"/>
          <w:color w:val="0070C0"/>
          <w:sz w:val="24"/>
        </w:rPr>
        <w:t>问卷的矛盾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 w:hint="eastAsia"/>
          <w:color w:val="0070C0"/>
          <w:sz w:val="24"/>
        </w:rPr>
        <w:t>案例</w:t>
      </w:r>
      <w:r w:rsidRPr="0008075A">
        <w:rPr>
          <w:rFonts w:ascii="微软雅黑" w:eastAsia="微软雅黑" w:hAnsi="微软雅黑"/>
          <w:color w:val="0070C0"/>
          <w:sz w:val="24"/>
        </w:rPr>
        <w:t>：</w:t>
      </w:r>
      <w:proofErr w:type="gramStart"/>
      <w:r w:rsidRPr="0008075A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08075A">
        <w:rPr>
          <w:rFonts w:ascii="微软雅黑" w:eastAsia="微软雅黑" w:hAnsi="微软雅黑"/>
          <w:color w:val="0070C0"/>
          <w:sz w:val="24"/>
        </w:rPr>
        <w:t>薪酬现状的分析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 w:hint="eastAsia"/>
          <w:color w:val="0070C0"/>
          <w:sz w:val="24"/>
        </w:rPr>
        <w:t>案例：</w:t>
      </w:r>
      <w:proofErr w:type="gramStart"/>
      <w:r w:rsidRPr="0008075A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08075A">
        <w:rPr>
          <w:rFonts w:ascii="微软雅黑" w:eastAsia="微软雅黑" w:hAnsi="微软雅黑" w:hint="eastAsia"/>
          <w:color w:val="0070C0"/>
          <w:sz w:val="24"/>
        </w:rPr>
        <w:t>薪酬改革面临问题的分析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五、</w:t>
      </w:r>
      <w:r w:rsidRPr="004E11D0">
        <w:rPr>
          <w:rFonts w:ascii="微软雅黑" w:eastAsia="微软雅黑" w:hAnsi="微软雅黑"/>
          <w:b/>
          <w:bCs/>
          <w:sz w:val="24"/>
        </w:rPr>
        <w:t>国企薪酬的分配设计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1、国企岗位价值评估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2、国企薪酬分级定薪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3、国企薪酬结构设计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lastRenderedPageBreak/>
        <w:t>4、国企年终奖设计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5</w:t>
      </w:r>
      <w:r w:rsidRPr="004E11D0">
        <w:rPr>
          <w:rFonts w:ascii="微软雅黑" w:eastAsia="微软雅黑" w:hAnsi="微软雅黑" w:hint="eastAsia"/>
          <w:sz w:val="24"/>
        </w:rPr>
        <w:t>、</w:t>
      </w:r>
      <w:proofErr w:type="gramStart"/>
      <w:r w:rsidRPr="004E11D0">
        <w:rPr>
          <w:rFonts w:ascii="微软雅黑" w:eastAsia="微软雅黑" w:hAnsi="微软雅黑" w:hint="eastAsia"/>
          <w:sz w:val="24"/>
        </w:rPr>
        <w:t>国企员</w:t>
      </w:r>
      <w:proofErr w:type="gramEnd"/>
      <w:r w:rsidRPr="004E11D0">
        <w:rPr>
          <w:rFonts w:ascii="微软雅黑" w:eastAsia="微软雅黑" w:hAnsi="微软雅黑" w:hint="eastAsia"/>
          <w:sz w:val="24"/>
        </w:rPr>
        <w:t>工薪酬的初次入级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 w:hint="eastAsia"/>
          <w:color w:val="0070C0"/>
          <w:sz w:val="24"/>
        </w:rPr>
        <w:t>案例：</w:t>
      </w:r>
      <w:proofErr w:type="gramStart"/>
      <w:r w:rsidRPr="0008075A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08075A">
        <w:rPr>
          <w:rFonts w:ascii="微软雅黑" w:eastAsia="微软雅黑" w:hAnsi="微软雅黑" w:hint="eastAsia"/>
          <w:color w:val="0070C0"/>
          <w:sz w:val="24"/>
        </w:rPr>
        <w:t>薪酬改革的案例分析</w:t>
      </w:r>
    </w:p>
    <w:p w:rsidR="00F84727" w:rsidRPr="004E11D0" w:rsidRDefault="00F84727" w:rsidP="00F84727">
      <w:pPr>
        <w:spacing w:line="312" w:lineRule="auto"/>
        <w:rPr>
          <w:rFonts w:ascii="微软雅黑" w:eastAsia="微软雅黑" w:hAnsi="微软雅黑"/>
          <w:b/>
          <w:bCs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六、国企绩效考核方案的设计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1、国企绩效考核设计的难点与阻力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2、国企绩效考核</w:t>
      </w:r>
      <w:bookmarkStart w:id="0" w:name="_GoBack"/>
      <w:bookmarkEnd w:id="0"/>
      <w:r w:rsidRPr="004E11D0">
        <w:rPr>
          <w:rFonts w:ascii="微软雅黑" w:eastAsia="微软雅黑" w:hAnsi="微软雅黑" w:hint="eastAsia"/>
          <w:sz w:val="24"/>
        </w:rPr>
        <w:t>工具的选择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/>
          <w:sz w:val="24"/>
        </w:rPr>
        <w:t>3</w:t>
      </w:r>
      <w:r w:rsidRPr="004E11D0">
        <w:rPr>
          <w:rFonts w:ascii="微软雅黑" w:eastAsia="微软雅黑" w:hAnsi="微软雅黑" w:hint="eastAsia"/>
          <w:sz w:val="24"/>
        </w:rPr>
        <w:t>、国企绩效考核的操作思路</w:t>
      </w:r>
    </w:p>
    <w:p w:rsidR="00F84727" w:rsidRPr="004E11D0" w:rsidRDefault="00F84727" w:rsidP="00F84727">
      <w:pPr>
        <w:spacing w:line="312" w:lineRule="auto"/>
        <w:ind w:firstLine="420"/>
        <w:rPr>
          <w:rFonts w:ascii="微软雅黑" w:eastAsia="微软雅黑" w:hAnsi="微软雅黑"/>
          <w:sz w:val="24"/>
        </w:rPr>
      </w:pPr>
      <w:r w:rsidRPr="004E11D0">
        <w:rPr>
          <w:rFonts w:ascii="微软雅黑" w:eastAsia="微软雅黑" w:hAnsi="微软雅黑" w:hint="eastAsia"/>
          <w:sz w:val="24"/>
        </w:rPr>
        <w:t>4、</w:t>
      </w:r>
      <w:r w:rsidRPr="004E11D0">
        <w:rPr>
          <w:rFonts w:ascii="微软雅黑" w:eastAsia="微软雅黑" w:hAnsi="微软雅黑"/>
          <w:sz w:val="24"/>
        </w:rPr>
        <w:t>国企绩效考核结果的应用</w:t>
      </w:r>
    </w:p>
    <w:p w:rsidR="00F84727" w:rsidRPr="0008075A" w:rsidRDefault="00F84727" w:rsidP="00F84727">
      <w:pPr>
        <w:spacing w:line="312" w:lineRule="auto"/>
        <w:ind w:firstLine="420"/>
        <w:rPr>
          <w:rFonts w:ascii="微软雅黑" w:eastAsia="微软雅黑" w:hAnsi="微软雅黑"/>
          <w:color w:val="0070C0"/>
          <w:sz w:val="24"/>
        </w:rPr>
      </w:pPr>
      <w:r w:rsidRPr="0008075A">
        <w:rPr>
          <w:rFonts w:ascii="微软雅黑" w:eastAsia="微软雅黑" w:hAnsi="微软雅黑" w:hint="eastAsia"/>
          <w:color w:val="0070C0"/>
          <w:sz w:val="24"/>
        </w:rPr>
        <w:t>案例：</w:t>
      </w:r>
      <w:proofErr w:type="gramStart"/>
      <w:r w:rsidRPr="0008075A">
        <w:rPr>
          <w:rFonts w:ascii="微软雅黑" w:eastAsia="微软雅黑" w:hAnsi="微软雅黑" w:hint="eastAsia"/>
          <w:color w:val="0070C0"/>
          <w:sz w:val="24"/>
        </w:rPr>
        <w:t>某央企</w:t>
      </w:r>
      <w:proofErr w:type="gramEnd"/>
      <w:r w:rsidRPr="0008075A">
        <w:rPr>
          <w:rFonts w:ascii="微软雅黑" w:eastAsia="微软雅黑" w:hAnsi="微软雅黑" w:hint="eastAsia"/>
          <w:color w:val="0070C0"/>
          <w:sz w:val="24"/>
        </w:rPr>
        <w:t>绩效改革的案例分析</w:t>
      </w:r>
    </w:p>
    <w:p w:rsidR="0008075A" w:rsidRDefault="0008075A" w:rsidP="00F84727">
      <w:pPr>
        <w:widowControl/>
        <w:jc w:val="left"/>
        <w:rPr>
          <w:rFonts w:ascii="微软雅黑" w:eastAsia="微软雅黑" w:hAnsi="微软雅黑" w:hint="eastAsia"/>
          <w:b/>
          <w:bCs/>
          <w:sz w:val="24"/>
        </w:rPr>
      </w:pPr>
    </w:p>
    <w:p w:rsidR="00F84727" w:rsidRPr="004E11D0" w:rsidRDefault="00F84727" w:rsidP="00F84727">
      <w:pPr>
        <w:widowControl/>
        <w:jc w:val="left"/>
        <w:rPr>
          <w:rFonts w:ascii="微软雅黑" w:eastAsia="微软雅黑" w:hAnsi="微软雅黑" w:cs="宋体"/>
          <w:kern w:val="0"/>
          <w:sz w:val="24"/>
        </w:rPr>
      </w:pPr>
      <w:r w:rsidRPr="004E11D0">
        <w:rPr>
          <w:rFonts w:ascii="微软雅黑" w:eastAsia="微软雅黑" w:hAnsi="微软雅黑" w:hint="eastAsia"/>
          <w:b/>
          <w:bCs/>
          <w:sz w:val="24"/>
        </w:rPr>
        <w:t>【课程呈现】</w:t>
      </w:r>
      <w:r w:rsidRPr="004E11D0">
        <w:rPr>
          <w:rFonts w:ascii="微软雅黑" w:eastAsia="微软雅黑" w:hAnsi="微软雅黑" w:cs="宋体" w:hint="eastAsia"/>
          <w:kern w:val="0"/>
          <w:sz w:val="24"/>
        </w:rPr>
        <w:t>30%理论+40%案例+20%练习+10%总结</w:t>
      </w:r>
    </w:p>
    <w:p w:rsidR="008F31C6" w:rsidRPr="00F84727" w:rsidRDefault="008F31C6" w:rsidP="00F84727"/>
    <w:sectPr w:rsidR="008F31C6" w:rsidRPr="00F84727" w:rsidSect="003B6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1FE8" w:rsidRDefault="00E91FE8" w:rsidP="00FF659F">
      <w:r>
        <w:separator/>
      </w:r>
    </w:p>
  </w:endnote>
  <w:endnote w:type="continuationSeparator" w:id="0">
    <w:p w:rsidR="00E91FE8" w:rsidRDefault="00E91FE8" w:rsidP="00FF65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1FE8" w:rsidRDefault="00E91FE8" w:rsidP="00FF659F">
      <w:r>
        <w:separator/>
      </w:r>
    </w:p>
  </w:footnote>
  <w:footnote w:type="continuationSeparator" w:id="0">
    <w:p w:rsidR="00E91FE8" w:rsidRDefault="00E91FE8" w:rsidP="00FF65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2EC3"/>
    <w:multiLevelType w:val="hybridMultilevel"/>
    <w:tmpl w:val="88C8F34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1">
    <w:nsid w:val="216D01F0"/>
    <w:multiLevelType w:val="hybridMultilevel"/>
    <w:tmpl w:val="1CD8FB44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2">
    <w:nsid w:val="27D26898"/>
    <w:multiLevelType w:val="hybridMultilevel"/>
    <w:tmpl w:val="40428ACC"/>
    <w:lvl w:ilvl="0" w:tplc="34A4CF1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0873916"/>
    <w:multiLevelType w:val="hybridMultilevel"/>
    <w:tmpl w:val="88C8F34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4">
    <w:nsid w:val="4C3B4A2A"/>
    <w:multiLevelType w:val="hybridMultilevel"/>
    <w:tmpl w:val="BF42E1AE"/>
    <w:lvl w:ilvl="0" w:tplc="928ED0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D9C11B6"/>
    <w:multiLevelType w:val="hybridMultilevel"/>
    <w:tmpl w:val="3F82D468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6">
    <w:nsid w:val="5F6C7938"/>
    <w:multiLevelType w:val="hybridMultilevel"/>
    <w:tmpl w:val="78523D76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7">
    <w:nsid w:val="6854308E"/>
    <w:multiLevelType w:val="hybridMultilevel"/>
    <w:tmpl w:val="DA0CB7FE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84"/>
        </w:tabs>
        <w:ind w:left="188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abstractNum w:abstractNumId="8">
    <w:nsid w:val="7EC10851"/>
    <w:multiLevelType w:val="hybridMultilevel"/>
    <w:tmpl w:val="9A88EB88"/>
    <w:lvl w:ilvl="0" w:tplc="04090011">
      <w:start w:val="1"/>
      <w:numFmt w:val="decimal"/>
      <w:lvlText w:val="%1)"/>
      <w:lvlJc w:val="left"/>
      <w:pPr>
        <w:tabs>
          <w:tab w:val="num" w:pos="1464"/>
        </w:tabs>
        <w:ind w:left="1464" w:hanging="420"/>
      </w:pPr>
    </w:lvl>
    <w:lvl w:ilvl="1" w:tplc="04090001">
      <w:start w:val="1"/>
      <w:numFmt w:val="bullet"/>
      <w:lvlText w:val=""/>
      <w:lvlJc w:val="left"/>
      <w:pPr>
        <w:tabs>
          <w:tab w:val="num" w:pos="1884"/>
        </w:tabs>
        <w:ind w:left="1884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4"/>
        </w:tabs>
        <w:ind w:left="272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44"/>
        </w:tabs>
        <w:ind w:left="314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64"/>
        </w:tabs>
        <w:ind w:left="35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84"/>
        </w:tabs>
        <w:ind w:left="398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04"/>
        </w:tabs>
        <w:ind w:left="440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2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"/>
  </w:num>
  <w:num w:numId="5">
    <w:abstractNumId w:val="7"/>
  </w:num>
  <w:num w:numId="6">
    <w:abstractNumId w:val="3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63"/>
    <w:rsid w:val="000315CE"/>
    <w:rsid w:val="0008075A"/>
    <w:rsid w:val="00097A82"/>
    <w:rsid w:val="001B2EC8"/>
    <w:rsid w:val="00232880"/>
    <w:rsid w:val="002C2931"/>
    <w:rsid w:val="003B633D"/>
    <w:rsid w:val="00432063"/>
    <w:rsid w:val="004E11D0"/>
    <w:rsid w:val="006C5754"/>
    <w:rsid w:val="006D7D2F"/>
    <w:rsid w:val="0088365C"/>
    <w:rsid w:val="008F31C6"/>
    <w:rsid w:val="00980369"/>
    <w:rsid w:val="00B603A1"/>
    <w:rsid w:val="00E91FE8"/>
    <w:rsid w:val="00EC7F82"/>
    <w:rsid w:val="00F84727"/>
    <w:rsid w:val="00FF6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FF659F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6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65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6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659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F659F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5">
    <w:name w:val="List Paragraph"/>
    <w:basedOn w:val="a"/>
    <w:uiPriority w:val="34"/>
    <w:qFormat/>
    <w:rsid w:val="00FF659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yangxiaomeng</cp:lastModifiedBy>
  <cp:revision>9</cp:revision>
  <dcterms:created xsi:type="dcterms:W3CDTF">2019-11-12T12:06:00Z</dcterms:created>
  <dcterms:modified xsi:type="dcterms:W3CDTF">2022-01-12T02:51:00Z</dcterms:modified>
</cp:coreProperties>
</file>