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left="567" w:leftChars="270"/>
        <w:jc w:val="center"/>
        <w:rPr>
          <w:rFonts w:hint="eastAsia" w:ascii="微软雅黑" w:hAnsi="微软雅黑" w:eastAsia="微软雅黑" w:cs="微软雅黑"/>
          <w:b/>
          <w:bCs/>
          <w:sz w:val="28"/>
          <w:szCs w:val="28"/>
        </w:rPr>
      </w:pPr>
      <w:bookmarkStart w:id="9" w:name="_GoBack"/>
      <w:bookmarkEnd w:id="9"/>
      <w:r>
        <w:rPr>
          <w:rFonts w:hint="eastAsia" w:ascii="微软雅黑" w:hAnsi="微软雅黑" w:eastAsia="微软雅黑" w:cs="微软雅黑"/>
          <w:b/>
          <w:bCs/>
          <w:sz w:val="24"/>
        </w:rPr>
        <w:t>地基基础施工工艺管控要点及实战案例</w:t>
      </w:r>
    </w:p>
    <w:p>
      <w:pPr>
        <w:spacing w:line="480" w:lineRule="exact"/>
        <w:ind w:left="567" w:leftChars="270"/>
        <w:rPr>
          <w:rFonts w:hint="eastAsia" w:ascii="微软雅黑" w:hAnsi="微软雅黑" w:eastAsia="微软雅黑" w:cs="微软雅黑"/>
          <w:sz w:val="28"/>
          <w:szCs w:val="28"/>
        </w:rPr>
      </w:pPr>
      <w:r>
        <w:rPr>
          <w:b/>
          <w:bCs/>
          <w:sz w:val="28"/>
          <w:szCs w:val="28"/>
        </w:rPr>
        <mc:AlternateContent>
          <mc:Choice Requires="wps">
            <w:drawing>
              <wp:anchor distT="0" distB="0" distL="114300" distR="114300" simplePos="0" relativeHeight="251662336" behindDoc="0" locked="0" layoutInCell="1" allowOverlap="1">
                <wp:simplePos x="0" y="0"/>
                <wp:positionH relativeFrom="column">
                  <wp:posOffset>128905</wp:posOffset>
                </wp:positionH>
                <wp:positionV relativeFrom="paragraph">
                  <wp:posOffset>209550</wp:posOffset>
                </wp:positionV>
                <wp:extent cx="1064895" cy="374015"/>
                <wp:effectExtent l="4445" t="4445" r="12700" b="17780"/>
                <wp:wrapSquare wrapText="bothSides"/>
                <wp:docPr id="4" name="文本框 10"/>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【课程背景】</w:t>
                            </w:r>
                          </w:p>
                        </w:txbxContent>
                      </wps:txbx>
                      <wps:bodyPr wrap="square" upright="1"/>
                    </wps:wsp>
                  </a:graphicData>
                </a:graphic>
              </wp:anchor>
            </w:drawing>
          </mc:Choice>
          <mc:Fallback>
            <w:pict>
              <v:shape id="文本框 10" o:spid="_x0000_s1026" o:spt="202" type="#_x0000_t202" style="position:absolute;left:0pt;margin-left:10.15pt;margin-top:16.5pt;height:29.45pt;width:83.85pt;mso-wrap-distance-bottom:0pt;mso-wrap-distance-left:9pt;mso-wrap-distance-right:9pt;mso-wrap-distance-top:0pt;z-index:251662336;mso-width-relative:page;mso-height-relative:page;" fillcolor="#000000" filled="t" stroked="t" coordsize="21600,21600" o:gfxdata="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gTYhtcAAAAIAQAADwAA&#10;AAAAAAABACAAAAAiAAAAZHJzL2Rvd25yZXYueG1sUEsBAhQAFAAAAAgAh07iQD4S5aoXAgAARQ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【课程背景】</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spacing w:line="480" w:lineRule="exact"/>
        <w:ind w:firstLine="480" w:firstLineChars="200"/>
        <w:rPr>
          <w:rFonts w:hint="eastAsia" w:ascii="微软雅黑" w:hAnsi="微软雅黑" w:eastAsia="微软雅黑" w:cs="微软雅黑"/>
          <w:sz w:val="24"/>
        </w:rPr>
      </w:pPr>
    </w:p>
    <w:p>
      <w:pPr>
        <w:spacing w:line="480" w:lineRule="exact"/>
        <w:ind w:left="283" w:leftChars="135"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left="283" w:leftChars="135"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80" w:lineRule="exact"/>
        <w:ind w:left="567" w:leftChars="270"/>
        <w:rPr>
          <w:rFonts w:hint="eastAsia" w:ascii="微软雅黑" w:hAnsi="微软雅黑" w:eastAsia="微软雅黑" w:cs="微软雅黑"/>
          <w:sz w:val="28"/>
          <w:szCs w:val="28"/>
        </w:rPr>
      </w:pPr>
      <w:r>
        <w:rPr>
          <w:sz w:val="28"/>
          <w:szCs w:val="28"/>
        </w:rPr>
        <mc:AlternateContent>
          <mc:Choice Requires="wps">
            <w:drawing>
              <wp:anchor distT="0" distB="0" distL="114300" distR="114300" simplePos="0" relativeHeight="251659264" behindDoc="0" locked="0" layoutInCell="1" allowOverlap="1">
                <wp:simplePos x="0" y="0"/>
                <wp:positionH relativeFrom="column">
                  <wp:posOffset>99060</wp:posOffset>
                </wp:positionH>
                <wp:positionV relativeFrom="paragraph">
                  <wp:posOffset>162560</wp:posOffset>
                </wp:positionV>
                <wp:extent cx="1064895" cy="374015"/>
                <wp:effectExtent l="4445" t="4445" r="12700" b="17780"/>
                <wp:wrapSquare wrapText="bothSides"/>
                <wp:docPr id="1" name="文本框 7"/>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【课程收益】</w:t>
                            </w:r>
                          </w:p>
                        </w:txbxContent>
                      </wps:txbx>
                      <wps:bodyPr wrap="square" upright="1"/>
                    </wps:wsp>
                  </a:graphicData>
                </a:graphic>
              </wp:anchor>
            </w:drawing>
          </mc:Choice>
          <mc:Fallback>
            <w:pict>
              <v:shape id="文本框 7" o:spid="_x0000_s1026" o:spt="202" type="#_x0000_t202" style="position:absolute;left:0pt;margin-left:7.8pt;margin-top:12.8pt;height:29.45pt;width:83.85pt;mso-wrap-distance-bottom:0pt;mso-wrap-distance-left:9pt;mso-wrap-distance-right:9pt;mso-wrap-distance-top:0pt;z-index:251659264;mso-width-relative:page;mso-height-relative:page;" fillcolor="#000000" filled="t" stroked="t" coordsize="21600,21600" o:gfxdata="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oHodzXAAAACAEAAA8AAAAA&#10;AAAAAQAgAAAAIgAAAGRycy9kb3ducmV2LnhtbFBLAQIUABQAAAAIAIdO4kA3cmPLFQIAAEQEAAAO&#10;AAAAAAAAAAEAIAAAACYBAABkcnMvZTJvRG9jLnhtbFBLBQYAAAAABgAGAFkBAACtBQ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【课程收益】</w:t>
                      </w:r>
                    </w:p>
                  </w:txbxContent>
                </v:textbox>
                <w10:wrap type="square"/>
              </v:shape>
            </w:pict>
          </mc:Fallback>
        </mc:AlternateContent>
      </w:r>
    </w:p>
    <w:p>
      <w:pPr>
        <w:spacing w:line="480" w:lineRule="exact"/>
        <w:ind w:left="567" w:leftChars="270"/>
        <w:rPr>
          <w:rFonts w:hint="eastAsia" w:ascii="微软雅黑" w:hAnsi="微软雅黑" w:eastAsia="微软雅黑" w:cs="微软雅黑"/>
          <w:sz w:val="28"/>
          <w:szCs w:val="28"/>
        </w:rPr>
      </w:pPr>
    </w:p>
    <w:p>
      <w:pPr>
        <w:pStyle w:val="12"/>
        <w:numPr>
          <w:ilvl w:val="0"/>
          <w:numId w:val="1"/>
        </w:numPr>
        <w:spacing w:line="480" w:lineRule="exact"/>
        <w:ind w:left="993" w:hanging="142" w:firstLineChars="0"/>
        <w:rPr>
          <w:rFonts w:ascii="微软雅黑" w:hAnsi="微软雅黑" w:eastAsia="微软雅黑" w:cs="微软雅黑"/>
          <w:sz w:val="24"/>
        </w:rPr>
      </w:pPr>
      <w:r>
        <w:rPr>
          <w:rFonts w:hint="eastAsia" w:ascii="微软雅黑" w:hAnsi="微软雅黑" w:eastAsia="微软雅黑" w:cs="微软雅黑"/>
          <w:sz w:val="24"/>
        </w:rPr>
        <w:t>深刻理解并体会工程管理各专业工程工艺工法和质量控制</w:t>
      </w:r>
    </w:p>
    <w:p>
      <w:pPr>
        <w:pStyle w:val="12"/>
        <w:numPr>
          <w:ilvl w:val="0"/>
          <w:numId w:val="1"/>
        </w:numPr>
        <w:spacing w:line="480" w:lineRule="exact"/>
        <w:ind w:left="993" w:hanging="142" w:firstLineChars="0"/>
        <w:rPr>
          <w:rFonts w:ascii="微软雅黑" w:hAnsi="微软雅黑" w:eastAsia="微软雅黑" w:cs="微软雅黑"/>
          <w:sz w:val="24"/>
        </w:rPr>
      </w:pPr>
      <w:r>
        <w:rPr>
          <w:rFonts w:hint="eastAsia" w:ascii="微软雅黑" w:hAnsi="微软雅黑" w:eastAsia="微软雅黑" w:cs="微软雅黑"/>
          <w:sz w:val="24"/>
        </w:rPr>
        <w:t>提高员工工程工艺基本操作管理意识</w:t>
      </w:r>
    </w:p>
    <w:p>
      <w:pPr>
        <w:pStyle w:val="12"/>
        <w:numPr>
          <w:ilvl w:val="0"/>
          <w:numId w:val="1"/>
        </w:numPr>
        <w:spacing w:line="480" w:lineRule="exact"/>
        <w:ind w:left="993" w:hanging="142" w:firstLineChars="0"/>
        <w:rPr>
          <w:rFonts w:ascii="微软雅黑" w:hAnsi="微软雅黑" w:eastAsia="微软雅黑" w:cs="微软雅黑"/>
          <w:sz w:val="24"/>
        </w:rPr>
      </w:pPr>
      <w:r>
        <w:rPr>
          <w:rFonts w:hint="eastAsia" w:ascii="微软雅黑" w:hAnsi="微软雅黑" w:eastAsia="微软雅黑" w:cs="微软雅黑"/>
          <w:sz w:val="24"/>
        </w:rPr>
        <w:t>强化员工工程流程和标准化的理念</w:t>
      </w:r>
    </w:p>
    <w:p>
      <w:pPr>
        <w:pStyle w:val="12"/>
        <w:numPr>
          <w:ilvl w:val="0"/>
          <w:numId w:val="1"/>
        </w:numPr>
        <w:spacing w:line="480" w:lineRule="exact"/>
        <w:ind w:left="993" w:hanging="142" w:firstLineChars="0"/>
        <w:rPr>
          <w:rFonts w:ascii="微软雅黑" w:hAnsi="微软雅黑" w:eastAsia="微软雅黑" w:cs="微软雅黑"/>
          <w:sz w:val="24"/>
        </w:rPr>
      </w:pPr>
      <w:r>
        <w:rPr>
          <w:rFonts w:hint="eastAsia" w:ascii="微软雅黑" w:hAnsi="微软雅黑" w:eastAsia="微软雅黑" w:cs="微软雅黑"/>
          <w:sz w:val="24"/>
        </w:rPr>
        <w:t>夯实员工管理基础</w:t>
      </w:r>
    </w:p>
    <w:p>
      <w:pPr>
        <w:pStyle w:val="12"/>
        <w:numPr>
          <w:ilvl w:val="0"/>
          <w:numId w:val="1"/>
        </w:numPr>
        <w:spacing w:line="480" w:lineRule="exact"/>
        <w:ind w:left="993" w:hanging="142" w:firstLineChars="0"/>
        <w:rPr>
          <w:rFonts w:hint="eastAsia" w:ascii="微软雅黑" w:hAnsi="微软雅黑" w:eastAsia="微软雅黑" w:cs="微软雅黑"/>
          <w:sz w:val="24"/>
        </w:rPr>
      </w:pPr>
      <w:r>
        <w:rPr>
          <w:rFonts w:hint="eastAsia" w:ascii="微软雅黑" w:hAnsi="微软雅黑" w:eastAsia="微软雅黑" w:cs="微软雅黑"/>
          <w:sz w:val="24"/>
        </w:rPr>
        <w:t>学习吸收标杆企业的优秀管理方法，取其精华，提高自身管理能力，提高企业质量管理体系</w:t>
      </w:r>
    </w:p>
    <w:p>
      <w:pPr>
        <w:pStyle w:val="12"/>
        <w:spacing w:line="480" w:lineRule="exact"/>
        <w:ind w:left="900" w:hanging="420" w:firstLineChars="0"/>
        <w:rPr>
          <w:rFonts w:hint="eastAsia" w:ascii="微软雅黑" w:hAnsi="微软雅黑" w:eastAsia="微软雅黑" w:cs="微软雅黑"/>
          <w:b/>
          <w:bCs/>
          <w:color w:val="FF0000"/>
          <w:sz w:val="28"/>
          <w:szCs w:val="28"/>
        </w:rPr>
      </w:pPr>
      <w:r>
        <w:rPr>
          <w:sz w:val="28"/>
          <w:szCs w:val="28"/>
        </w:rPr>
        <mc:AlternateContent>
          <mc:Choice Requires="wps">
            <w:drawing>
              <wp:anchor distT="0" distB="0" distL="114300" distR="114300" simplePos="0" relativeHeight="251660288" behindDoc="0" locked="0" layoutInCell="1" allowOverlap="1">
                <wp:simplePos x="0" y="0"/>
                <wp:positionH relativeFrom="column">
                  <wp:posOffset>128905</wp:posOffset>
                </wp:positionH>
                <wp:positionV relativeFrom="paragraph">
                  <wp:posOffset>85090</wp:posOffset>
                </wp:positionV>
                <wp:extent cx="1064895" cy="374015"/>
                <wp:effectExtent l="4445" t="4445" r="12700" b="17780"/>
                <wp:wrapSquare wrapText="bothSides"/>
                <wp:docPr id="2" name="文本框 8"/>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【课程对象】</w:t>
                            </w:r>
                          </w:p>
                        </w:txbxContent>
                      </wps:txbx>
                      <wps:bodyPr wrap="square" upright="1"/>
                    </wps:wsp>
                  </a:graphicData>
                </a:graphic>
              </wp:anchor>
            </w:drawing>
          </mc:Choice>
          <mc:Fallback>
            <w:pict>
              <v:shape id="文本框 8" o:spid="_x0000_s1026" o:spt="202" type="#_x0000_t202" style="position:absolute;left:0pt;margin-left:10.15pt;margin-top:6.7pt;height:29.45pt;width:83.85pt;mso-wrap-distance-bottom:0pt;mso-wrap-distance-left:9pt;mso-wrap-distance-right:9pt;mso-wrap-distance-top:0pt;z-index:251660288;mso-width-relative:page;mso-height-relative:page;" fillcolor="#000000" filled="t" stroked="t" coordsize="21600,21600" o:gfxdata="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ovubf9cAAAAIAQAADwAA&#10;AAAAAAABACAAAAAiAAAAZHJzL2Rvd25yZXYueG1sUEsBAhQAFAAAAAgAh07iQNZBp4UXAgAARAQA&#10;AA4AAAAAAAAAAQAgAAAAJg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【课程对象】</w:t>
                      </w:r>
                    </w:p>
                  </w:txbxContent>
                </v:textbox>
                <w10:wrap type="square"/>
              </v:shape>
            </w:pict>
          </mc:Fallback>
        </mc:AlternateContent>
      </w:r>
    </w:p>
    <w:p>
      <w:pPr>
        <w:widowControl/>
        <w:shd w:val="clear" w:color="auto" w:fill="FFFFFF"/>
        <w:spacing w:line="480" w:lineRule="exact"/>
        <w:ind w:left="567" w:leftChars="270"/>
        <w:jc w:val="left"/>
        <w:rPr>
          <w:rFonts w:ascii="Verdana" w:hAnsi="Verdana" w:cs="Verdana"/>
          <w:color w:val="333333"/>
          <w:sz w:val="28"/>
          <w:szCs w:val="28"/>
        </w:rPr>
      </w:pPr>
    </w:p>
    <w:p>
      <w:pPr>
        <w:pStyle w:val="12"/>
        <w:spacing w:line="480" w:lineRule="exact"/>
        <w:ind w:left="426" w:firstLine="567" w:firstLineChars="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房地产企业董事长、总经理、总工、集团分管工程副总、项目总经理、工程总监、设计部经理、成本总监、成本部经理、工程部经理、造价工程师等。</w:t>
      </w:r>
    </w:p>
    <w:p>
      <w:pPr>
        <w:spacing w:line="440" w:lineRule="exact"/>
        <w:ind w:left="567" w:leftChars="270"/>
        <w:rPr>
          <w:rFonts w:hint="eastAsia" w:ascii="微软雅黑" w:hAnsi="微软雅黑" w:eastAsia="微软雅黑" w:cs="微软雅黑"/>
          <w:b/>
          <w:bCs/>
          <w:color w:val="FF0000"/>
          <w:sz w:val="28"/>
          <w:szCs w:val="28"/>
        </w:rPr>
      </w:pPr>
    </w:p>
    <w:p>
      <w:pPr>
        <w:widowControl/>
        <w:spacing w:line="440" w:lineRule="exact"/>
        <w:ind w:left="567" w:leftChars="270"/>
        <w:jc w:val="left"/>
        <w:rPr>
          <w:rFonts w:hint="eastAsia"/>
          <w:sz w:val="28"/>
          <w:szCs w:val="28"/>
        </w:rPr>
      </w:pPr>
      <w:r>
        <w:rPr>
          <w:sz w:val="28"/>
          <w:szCs w:val="28"/>
        </w:rPr>
        <mc:AlternateContent>
          <mc:Choice Requires="wps">
            <w:drawing>
              <wp:anchor distT="0" distB="0" distL="114300" distR="114300" simplePos="0" relativeHeight="251661312" behindDoc="0" locked="0" layoutInCell="1" allowOverlap="1">
                <wp:simplePos x="0" y="0"/>
                <wp:positionH relativeFrom="column">
                  <wp:posOffset>123825</wp:posOffset>
                </wp:positionH>
                <wp:positionV relativeFrom="paragraph">
                  <wp:posOffset>135255</wp:posOffset>
                </wp:positionV>
                <wp:extent cx="1064895" cy="374015"/>
                <wp:effectExtent l="4445" t="4445" r="12700" b="17780"/>
                <wp:wrapSquare wrapText="bothSides"/>
                <wp:docPr id="3" name="文本框 9"/>
                <wp:cNvGraphicFramePr/>
                <a:graphic xmlns:a="http://schemas.openxmlformats.org/drawingml/2006/main">
                  <a:graphicData uri="http://schemas.microsoft.com/office/word/2010/wordprocessingShape">
                    <wps:wsp>
                      <wps:cNvSpPr txBox="1"/>
                      <wps:spPr>
                        <a:xfrm>
                          <a:off x="0" y="0"/>
                          <a:ext cx="1064895" cy="374015"/>
                        </a:xfrm>
                        <a:prstGeom prst="rect">
                          <a:avLst/>
                        </a:prstGeom>
                        <a:solidFill>
                          <a:srgbClr val="000000"/>
                        </a:solidFill>
                        <a:ln w="9525" cap="flat" cmpd="sng">
                          <a:solidFill>
                            <a:srgbClr val="1F497D"/>
                          </a:solidFill>
                          <a:prstDash val="solid"/>
                          <a:miter/>
                          <a:headEnd type="none" w="med" len="med"/>
                          <a:tailEnd type="none" w="med" len="med"/>
                        </a:ln>
                      </wps:spPr>
                      <wps:txbx>
                        <w:txbxContent>
                          <w:p>
                            <w:pPr>
                              <w:spacing w:line="360" w:lineRule="exact"/>
                              <w:rPr>
                                <w:color w:val="FFFFFF"/>
                              </w:rPr>
                            </w:pPr>
                            <w:r>
                              <w:rPr>
                                <w:rFonts w:hint="eastAsia" w:ascii="微软雅黑" w:hAnsi="微软雅黑" w:eastAsia="微软雅黑" w:cs="微软雅黑"/>
                                <w:b/>
                                <w:bCs/>
                                <w:color w:val="FFFFFF"/>
                                <w:sz w:val="24"/>
                              </w:rPr>
                              <w:t>【课程大纲】</w:t>
                            </w:r>
                          </w:p>
                        </w:txbxContent>
                      </wps:txbx>
                      <wps:bodyPr wrap="square" upright="1"/>
                    </wps:wsp>
                  </a:graphicData>
                </a:graphic>
              </wp:anchor>
            </w:drawing>
          </mc:Choice>
          <mc:Fallback>
            <w:pict>
              <v:shape id="文本框 9" o:spid="_x0000_s1026" o:spt="202" type="#_x0000_t202" style="position:absolute;left:0pt;margin-left:9.75pt;margin-top:10.65pt;height:29.45pt;width:83.85pt;mso-wrap-distance-bottom:0pt;mso-wrap-distance-left:9pt;mso-wrap-distance-right:9pt;mso-wrap-distance-top:0pt;z-index:251661312;mso-width-relative:page;mso-height-relative:page;" fillcolor="#000000" filled="t" stroked="t" coordsize="21600,21600" o:gfxdata="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uAP8tYAAAAIAQAADwAA&#10;AAAAAAABACAAAAAiAAAAZHJzL2Rvd25yZXYueG1sUEsBAhQAFAAAAAgAh07iQJyJMtMYAgAARAQA&#10;AA4AAAAAAAAAAQAgAAAAJQEAAGRycy9lMm9Eb2MueG1sUEsFBgAAAAAGAAYAWQEAAK8FAAAAAA==&#10;">
                <v:fill on="t" focussize="0,0"/>
                <v:stroke color="#1F497D" joinstyle="miter"/>
                <v:imagedata o:title=""/>
                <o:lock v:ext="edit" aspectratio="f"/>
                <v:textbox>
                  <w:txbxContent>
                    <w:p>
                      <w:pPr>
                        <w:spacing w:line="360" w:lineRule="exact"/>
                        <w:rPr>
                          <w:color w:val="FFFFFF"/>
                        </w:rPr>
                      </w:pPr>
                      <w:r>
                        <w:rPr>
                          <w:rFonts w:hint="eastAsia" w:ascii="微软雅黑" w:hAnsi="微软雅黑" w:eastAsia="微软雅黑" w:cs="微软雅黑"/>
                          <w:b/>
                          <w:bCs/>
                          <w:color w:val="FFFFFF"/>
                          <w:sz w:val="24"/>
                        </w:rPr>
                        <w:t>【课程大纲】</w:t>
                      </w:r>
                    </w:p>
                  </w:txbxContent>
                </v:textbox>
                <w10:wrap type="square"/>
              </v:shape>
            </w:pict>
          </mc:Fallback>
        </mc:AlternateContent>
      </w:r>
    </w:p>
    <w:p>
      <w:pPr>
        <w:spacing w:line="440" w:lineRule="exact"/>
        <w:ind w:left="567" w:leftChars="270"/>
        <w:rPr>
          <w:rFonts w:hint="eastAsia" w:ascii="微软雅黑" w:hAnsi="微软雅黑" w:eastAsia="微软雅黑" w:cs="微软雅黑"/>
          <w:b/>
          <w:color w:val="FF0000"/>
          <w:sz w:val="28"/>
          <w:szCs w:val="28"/>
        </w:rPr>
      </w:pP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w:t>
      </w:r>
      <w:r>
        <w:rPr>
          <w:rFonts w:hint="eastAsia" w:ascii="微软雅黑" w:hAnsi="微软雅黑" w:eastAsia="微软雅黑"/>
          <w:b/>
          <w:color w:val="FF0000"/>
          <w:sz w:val="24"/>
          <w:szCs w:val="28"/>
        </w:rPr>
        <w:t>地基与基础工艺工法及质量控制:</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换填垫层法施工工艺：适用范围、材料要求；主机设备、作业条件、施工要点</w:t>
      </w:r>
      <w:r>
        <w:rPr>
          <w:rFonts w:ascii="微软雅黑" w:hAnsi="微软雅黑" w:eastAsia="微软雅黑"/>
          <w:b/>
          <w:bCs/>
          <w:sz w:val="24"/>
          <w:szCs w:val="24"/>
        </w:rPr>
        <w:t>及</w:t>
      </w:r>
      <w:r>
        <w:rPr>
          <w:rFonts w:hint="eastAsia" w:ascii="微软雅黑" w:hAnsi="微软雅黑" w:eastAsia="微软雅黑"/>
          <w:b/>
          <w:bCs/>
          <w:sz w:val="24"/>
          <w:szCs w:val="24"/>
        </w:rPr>
        <w:t>工艺流程；</w:t>
      </w:r>
      <w:r>
        <w:rPr>
          <w:rFonts w:ascii="微软雅黑" w:hAnsi="微软雅黑" w:eastAsia="微软雅黑"/>
          <w:b/>
          <w:bCs/>
          <w:sz w:val="24"/>
          <w:szCs w:val="24"/>
        </w:rPr>
        <w:t>质量验收及标准。</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预压法施工工艺</w:t>
      </w:r>
      <w:r>
        <w:rPr>
          <w:rFonts w:ascii="微软雅黑" w:hAnsi="微软雅黑" w:eastAsia="微软雅黑"/>
          <w:b/>
          <w:bCs/>
          <w:sz w:val="24"/>
          <w:szCs w:val="24"/>
        </w:rPr>
        <w:t>：</w:t>
      </w:r>
      <w:r>
        <w:rPr>
          <w:rFonts w:hint="eastAsia" w:ascii="微软雅黑" w:hAnsi="微软雅黑" w:eastAsia="微软雅黑"/>
          <w:b/>
          <w:bCs/>
          <w:sz w:val="24"/>
          <w:szCs w:val="24"/>
        </w:rPr>
        <w:t>适用范围及材料要求；主要机具设备，作业条件、</w:t>
      </w:r>
      <w:r>
        <w:rPr>
          <w:rFonts w:ascii="微软雅黑" w:hAnsi="微软雅黑" w:eastAsia="微软雅黑"/>
          <w:b/>
          <w:bCs/>
          <w:sz w:val="24"/>
          <w:szCs w:val="24"/>
        </w:rPr>
        <w:t>施工要点</w:t>
      </w:r>
      <w:r>
        <w:rPr>
          <w:rFonts w:hint="eastAsia" w:ascii="微软雅黑" w:hAnsi="微软雅黑" w:eastAsia="微软雅黑"/>
          <w:b/>
          <w:bCs/>
          <w:sz w:val="24"/>
          <w:szCs w:val="24"/>
        </w:rPr>
        <w:t>工艺</w:t>
      </w:r>
      <w:r>
        <w:rPr>
          <w:rFonts w:ascii="微软雅黑" w:hAnsi="微软雅黑" w:eastAsia="微软雅黑"/>
          <w:b/>
          <w:bCs/>
          <w:sz w:val="24"/>
          <w:szCs w:val="24"/>
        </w:rPr>
        <w:t>流程；质量验收及标准</w:t>
      </w:r>
      <w:r>
        <w:rPr>
          <w:rFonts w:hint="eastAsia" w:ascii="微软雅黑" w:hAnsi="微软雅黑" w:eastAsia="微软雅黑"/>
          <w:b/>
          <w:bCs/>
          <w:sz w:val="24"/>
          <w:szCs w:val="24"/>
        </w:rPr>
        <w:t>。</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强夯法施工工艺</w:t>
      </w:r>
      <w:r>
        <w:rPr>
          <w:rFonts w:ascii="微软雅黑" w:hAnsi="微软雅黑" w:eastAsia="微软雅黑"/>
          <w:b/>
          <w:bCs/>
          <w:sz w:val="24"/>
          <w:szCs w:val="24"/>
        </w:rPr>
        <w:t>：</w:t>
      </w:r>
      <w:r>
        <w:rPr>
          <w:rFonts w:hint="eastAsia" w:ascii="微软雅黑" w:hAnsi="微软雅黑" w:eastAsia="微软雅黑"/>
          <w:b/>
          <w:bCs/>
          <w:sz w:val="24"/>
          <w:szCs w:val="24"/>
        </w:rPr>
        <w:t>适用范围、设备；作业条件、施工工艺和</w:t>
      </w:r>
      <w:r>
        <w:rPr>
          <w:rFonts w:ascii="微软雅黑" w:hAnsi="微软雅黑" w:eastAsia="微软雅黑"/>
          <w:b/>
          <w:bCs/>
          <w:sz w:val="24"/>
          <w:szCs w:val="24"/>
        </w:rPr>
        <w:t>要点；质量验收及标准</w:t>
      </w:r>
      <w:r>
        <w:rPr>
          <w:rFonts w:hint="eastAsia" w:ascii="微软雅黑" w:hAnsi="微软雅黑" w:eastAsia="微软雅黑"/>
          <w:b/>
          <w:bCs/>
          <w:sz w:val="24"/>
          <w:szCs w:val="24"/>
        </w:rPr>
        <w:t>。</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砂石桩法施工工艺：适用范围及材料要求；主要机具设备，作业条件、施工要点、应</w:t>
      </w:r>
      <w:r>
        <w:rPr>
          <w:rFonts w:ascii="微软雅黑" w:hAnsi="微软雅黑" w:eastAsia="微软雅黑"/>
          <w:b/>
          <w:bCs/>
          <w:sz w:val="24"/>
          <w:szCs w:val="24"/>
        </w:rPr>
        <w:t>注意问题</w:t>
      </w:r>
      <w:r>
        <w:rPr>
          <w:rFonts w:hint="eastAsia" w:ascii="微软雅黑" w:hAnsi="微软雅黑" w:eastAsia="微软雅黑"/>
          <w:b/>
          <w:bCs/>
          <w:sz w:val="24"/>
          <w:szCs w:val="24"/>
        </w:rPr>
        <w:t>；质量验收及标准。</w:t>
      </w:r>
    </w:p>
    <w:p>
      <w:pPr>
        <w:numPr>
          <w:ilvl w:val="1"/>
          <w:numId w:val="2"/>
        </w:numPr>
        <w:ind w:left="1134" w:hanging="425"/>
        <w:rPr>
          <w:rFonts w:hint="eastAsia" w:ascii="微软雅黑" w:hAnsi="微软雅黑" w:eastAsia="微软雅黑"/>
          <w:b/>
          <w:bCs/>
          <w:sz w:val="24"/>
        </w:rPr>
      </w:pPr>
      <w:r>
        <w:rPr>
          <w:rFonts w:hint="eastAsia" w:ascii="微软雅黑" w:hAnsi="微软雅黑" w:eastAsia="微软雅黑"/>
          <w:b/>
          <w:bCs/>
          <w:sz w:val="24"/>
        </w:rPr>
        <w:t>振冲法施工工艺：适用范围及材料要求；主要机具设备，作业条件、施工工艺</w:t>
      </w:r>
      <w:r>
        <w:rPr>
          <w:rFonts w:ascii="微软雅黑" w:hAnsi="微软雅黑" w:eastAsia="微软雅黑"/>
          <w:b/>
          <w:bCs/>
          <w:sz w:val="24"/>
        </w:rPr>
        <w:t>及</w:t>
      </w:r>
      <w:r>
        <w:rPr>
          <w:rFonts w:hint="eastAsia" w:ascii="微软雅黑" w:hAnsi="微软雅黑" w:eastAsia="微软雅黑"/>
          <w:b/>
          <w:bCs/>
          <w:sz w:val="24"/>
        </w:rPr>
        <w:t>要点；质量验收及标准。</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水泥粉煤灰碎石桩施工工艺：适用范围及材料要求；机具</w:t>
      </w:r>
      <w:r>
        <w:rPr>
          <w:rFonts w:ascii="微软雅黑" w:hAnsi="微软雅黑" w:eastAsia="微软雅黑"/>
          <w:b/>
          <w:bCs/>
          <w:sz w:val="24"/>
          <w:szCs w:val="24"/>
        </w:rPr>
        <w:t>、</w:t>
      </w:r>
      <w:r>
        <w:rPr>
          <w:rFonts w:hint="eastAsia" w:ascii="微软雅黑" w:hAnsi="微软雅黑" w:eastAsia="微软雅黑"/>
          <w:b/>
          <w:bCs/>
          <w:sz w:val="24"/>
          <w:szCs w:val="24"/>
        </w:rPr>
        <w:t>作业</w:t>
      </w:r>
      <w:r>
        <w:rPr>
          <w:rFonts w:ascii="微软雅黑" w:hAnsi="微软雅黑" w:eastAsia="微软雅黑"/>
          <w:b/>
          <w:bCs/>
          <w:sz w:val="24"/>
          <w:szCs w:val="24"/>
        </w:rPr>
        <w:t>条件</w:t>
      </w:r>
      <w:r>
        <w:rPr>
          <w:rFonts w:hint="eastAsia" w:ascii="微软雅黑" w:hAnsi="微软雅黑" w:eastAsia="微软雅黑"/>
          <w:b/>
          <w:bCs/>
          <w:sz w:val="24"/>
          <w:szCs w:val="24"/>
        </w:rPr>
        <w:t>、施工工艺</w:t>
      </w:r>
      <w:r>
        <w:rPr>
          <w:rFonts w:ascii="微软雅黑" w:hAnsi="微软雅黑" w:eastAsia="微软雅黑"/>
          <w:b/>
          <w:bCs/>
          <w:sz w:val="24"/>
          <w:szCs w:val="24"/>
        </w:rPr>
        <w:t>及要点</w:t>
      </w:r>
      <w:r>
        <w:rPr>
          <w:rFonts w:hint="eastAsia" w:ascii="微软雅黑" w:hAnsi="微软雅黑" w:eastAsia="微软雅黑"/>
          <w:b/>
          <w:bCs/>
          <w:sz w:val="24"/>
          <w:szCs w:val="24"/>
        </w:rPr>
        <w:t>；质量验收及标准。</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夯实水泥土桩法施工工艺：适用范围及材料要求；主要机具设备，作业条件、施工工艺及要点；质量验收及标准。</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水泥土搅拌法施工工艺：适用范围及材料要求；机具及作业条件、施工工艺及</w:t>
      </w:r>
      <w:r>
        <w:rPr>
          <w:rFonts w:ascii="微软雅黑" w:hAnsi="微软雅黑" w:eastAsia="微软雅黑"/>
          <w:b/>
          <w:bCs/>
          <w:sz w:val="24"/>
          <w:szCs w:val="24"/>
        </w:rPr>
        <w:t>要点；质量验收及标准。</w:t>
      </w:r>
    </w:p>
    <w:p>
      <w:pPr>
        <w:numPr>
          <w:ilvl w:val="1"/>
          <w:numId w:val="2"/>
        </w:numPr>
        <w:ind w:left="1134" w:hanging="425"/>
        <w:rPr>
          <w:rFonts w:hint="eastAsia" w:ascii="微软雅黑" w:hAnsi="微软雅黑" w:eastAsia="微软雅黑"/>
          <w:b/>
          <w:bCs/>
          <w:sz w:val="24"/>
        </w:rPr>
      </w:pPr>
      <w:r>
        <w:rPr>
          <w:rFonts w:hint="eastAsia" w:ascii="微软雅黑" w:hAnsi="微软雅黑" w:eastAsia="微软雅黑"/>
          <w:b/>
          <w:bCs/>
          <w:sz w:val="24"/>
        </w:rPr>
        <w:t>高压喷射注浆法施工工艺：适用范围及材料要求；主要机具设备，作业条件、施工工艺及要点；质量标准。</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石灰桩法施工工艺：适用范围及材料要求；机具及作业条件、施工工艺及要点；质量标准。</w:t>
      </w:r>
    </w:p>
    <w:p>
      <w:pPr>
        <w:numPr>
          <w:ilvl w:val="1"/>
          <w:numId w:val="2"/>
        </w:numPr>
        <w:ind w:left="1134" w:hanging="425"/>
        <w:rPr>
          <w:rFonts w:hint="eastAsia" w:ascii="微软雅黑" w:hAnsi="微软雅黑" w:eastAsia="微软雅黑"/>
          <w:b/>
          <w:bCs/>
          <w:sz w:val="24"/>
        </w:rPr>
      </w:pPr>
      <w:r>
        <w:rPr>
          <w:rFonts w:hint="eastAsia" w:ascii="微软雅黑" w:hAnsi="微软雅黑" w:eastAsia="微软雅黑"/>
          <w:b/>
          <w:bCs/>
          <w:sz w:val="24"/>
        </w:rPr>
        <w:t>土和灰土挤密桩法施工工艺：适用范围及材料要求；主要机具设备，作业条件、施工工艺及要点；质量标准。</w:t>
      </w:r>
    </w:p>
    <w:p>
      <w:pPr>
        <w:pStyle w:val="12"/>
        <w:numPr>
          <w:ilvl w:val="1"/>
          <w:numId w:val="2"/>
        </w:numPr>
        <w:ind w:left="1134" w:hanging="425" w:firstLineChars="0"/>
        <w:rPr>
          <w:rFonts w:ascii="微软雅黑" w:hAnsi="微软雅黑" w:eastAsia="微软雅黑"/>
          <w:b/>
          <w:bCs/>
          <w:sz w:val="24"/>
          <w:szCs w:val="24"/>
        </w:rPr>
      </w:pPr>
      <w:r>
        <w:rPr>
          <w:rFonts w:hint="eastAsia" w:ascii="微软雅黑" w:hAnsi="微软雅黑" w:eastAsia="微软雅黑"/>
          <w:b/>
          <w:bCs/>
          <w:sz w:val="24"/>
          <w:szCs w:val="24"/>
        </w:rPr>
        <w:t>柱锤冲扩桩法施工工艺：适用范围及材料要求；机具及作业条件、施工工艺及要点；质量标准。</w:t>
      </w:r>
    </w:p>
    <w:p>
      <w:pPr>
        <w:spacing w:line="480" w:lineRule="exact"/>
        <w:rPr>
          <w:rFonts w:hint="eastAsia" w:ascii="微软雅黑" w:hAnsi="微软雅黑" w:eastAsia="微软雅黑" w:cs="微软雅黑"/>
          <w:b/>
          <w:bCs/>
          <w:color w:val="FF0000"/>
          <w:sz w:val="24"/>
        </w:rPr>
      </w:pPr>
      <w:r>
        <w:rPr>
          <w:rFonts w:hint="eastAsia" w:ascii="微软雅黑" w:hAnsi="微软雅黑" w:eastAsia="微软雅黑" w:cs="微软雅黑"/>
          <w:b/>
          <w:bCs/>
          <w:color w:val="FF0000"/>
          <w:sz w:val="24"/>
        </w:rPr>
        <w:t>第二部分：</w:t>
      </w:r>
      <w:r>
        <w:rPr>
          <w:rFonts w:hint="eastAsia" w:ascii="微软雅黑" w:hAnsi="微软雅黑" w:eastAsia="微软雅黑"/>
          <w:b/>
          <w:bCs/>
          <w:color w:val="FF0000"/>
          <w:sz w:val="24"/>
          <w:szCs w:val="28"/>
        </w:rPr>
        <w:t>基础</w:t>
      </w:r>
      <w:r>
        <w:rPr>
          <w:rFonts w:ascii="微软雅黑" w:hAnsi="微软雅黑" w:eastAsia="微软雅黑"/>
          <w:b/>
          <w:bCs/>
          <w:color w:val="FF0000"/>
          <w:sz w:val="24"/>
          <w:szCs w:val="28"/>
        </w:rPr>
        <w:t>施工工艺</w:t>
      </w:r>
    </w:p>
    <w:p>
      <w:pPr>
        <w:pStyle w:val="12"/>
        <w:numPr>
          <w:ilvl w:val="1"/>
          <w:numId w:val="3"/>
        </w:numPr>
        <w:ind w:firstLine="11" w:firstLineChars="0"/>
        <w:rPr>
          <w:rFonts w:ascii="微软雅黑" w:hAnsi="微软雅黑" w:eastAsia="微软雅黑" w:cs="微软雅黑"/>
          <w:b/>
          <w:bCs/>
          <w:sz w:val="24"/>
        </w:rPr>
      </w:pPr>
      <w:r>
        <w:rPr>
          <w:rFonts w:hint="eastAsia" w:ascii="微软雅黑" w:hAnsi="微软雅黑" w:eastAsia="微软雅黑" w:cs="微软雅黑"/>
          <w:b/>
          <w:bCs/>
          <w:sz w:val="24"/>
        </w:rPr>
        <w:t>无筋扩展基础施工工艺：适用范围、</w:t>
      </w:r>
      <w:r>
        <w:rPr>
          <w:rFonts w:ascii="微软雅黑" w:hAnsi="微软雅黑" w:eastAsia="微软雅黑" w:cs="微软雅黑"/>
          <w:b/>
          <w:bCs/>
          <w:sz w:val="24"/>
        </w:rPr>
        <w:t>材料要求；</w:t>
      </w:r>
      <w:r>
        <w:rPr>
          <w:rFonts w:hint="eastAsia" w:ascii="微软雅黑" w:hAnsi="微软雅黑" w:eastAsia="微软雅黑" w:cs="微软雅黑"/>
          <w:b/>
          <w:bCs/>
          <w:sz w:val="24"/>
        </w:rPr>
        <w:t>主机设备及作业条件；施工工艺及要点；质量标准</w:t>
      </w:r>
      <w:r>
        <w:rPr>
          <w:rFonts w:ascii="微软雅黑" w:hAnsi="微软雅黑" w:eastAsia="微软雅黑" w:cs="微软雅黑"/>
          <w:b/>
          <w:bCs/>
          <w:sz w:val="24"/>
        </w:rPr>
        <w:t>。</w:t>
      </w:r>
    </w:p>
    <w:p>
      <w:pPr>
        <w:numPr>
          <w:ilvl w:val="1"/>
          <w:numId w:val="3"/>
        </w:numPr>
        <w:ind w:firstLine="11"/>
        <w:rPr>
          <w:rFonts w:hint="eastAsia" w:ascii="微软雅黑" w:hAnsi="微软雅黑" w:eastAsia="微软雅黑" w:cs="微软雅黑"/>
          <w:b/>
          <w:bCs/>
          <w:sz w:val="24"/>
          <w:szCs w:val="22"/>
        </w:rPr>
      </w:pPr>
      <w:r>
        <w:rPr>
          <w:rFonts w:hint="eastAsia" w:ascii="微软雅黑" w:hAnsi="微软雅黑" w:eastAsia="微软雅黑" w:cs="微软雅黑"/>
          <w:b/>
          <w:bCs/>
          <w:sz w:val="24"/>
        </w:rPr>
        <w:t>扩展基础施工工艺：扩展基础及材料要求；</w:t>
      </w:r>
      <w:r>
        <w:rPr>
          <w:rFonts w:hint="eastAsia" w:ascii="微软雅黑" w:hAnsi="微软雅黑" w:eastAsia="微软雅黑" w:cs="微软雅黑"/>
          <w:b/>
          <w:bCs/>
          <w:sz w:val="24"/>
          <w:szCs w:val="22"/>
        </w:rPr>
        <w:t>主要机具设备，作业条件、施工工艺及要点；质量验收及标准。</w:t>
      </w:r>
    </w:p>
    <w:p>
      <w:pPr>
        <w:pStyle w:val="12"/>
        <w:numPr>
          <w:ilvl w:val="1"/>
          <w:numId w:val="3"/>
        </w:numPr>
        <w:ind w:firstLine="11" w:firstLineChars="0"/>
        <w:rPr>
          <w:rFonts w:ascii="微软雅黑" w:hAnsi="微软雅黑" w:eastAsia="微软雅黑" w:cs="微软雅黑"/>
          <w:b/>
          <w:bCs/>
          <w:sz w:val="24"/>
        </w:rPr>
      </w:pPr>
      <w:r>
        <w:rPr>
          <w:rFonts w:hint="eastAsia" w:ascii="微软雅黑" w:hAnsi="微软雅黑" w:eastAsia="微软雅黑" w:cs="微软雅黑"/>
          <w:b/>
          <w:bCs/>
          <w:sz w:val="24"/>
        </w:rPr>
        <w:t>静压预应力管桩施工工艺：适用范围及材料要求；主要机具设备、作业条件、施工工艺及</w:t>
      </w:r>
      <w:r>
        <w:rPr>
          <w:rFonts w:ascii="微软雅黑" w:hAnsi="微软雅黑" w:eastAsia="微软雅黑" w:cs="微软雅黑"/>
          <w:b/>
          <w:bCs/>
          <w:sz w:val="24"/>
        </w:rPr>
        <w:t>要点；</w:t>
      </w:r>
      <w:r>
        <w:rPr>
          <w:rFonts w:hint="eastAsia" w:ascii="微软雅黑" w:hAnsi="微软雅黑" w:eastAsia="微软雅黑" w:cs="微软雅黑"/>
          <w:b/>
          <w:bCs/>
          <w:sz w:val="24"/>
        </w:rPr>
        <w:t>质量验收及标准。</w:t>
      </w:r>
    </w:p>
    <w:p>
      <w:pPr>
        <w:numPr>
          <w:ilvl w:val="1"/>
          <w:numId w:val="3"/>
        </w:numPr>
        <w:ind w:firstLine="11"/>
        <w:rPr>
          <w:rFonts w:hint="eastAsia" w:ascii="微软雅黑" w:hAnsi="微软雅黑" w:eastAsia="微软雅黑" w:cs="微软雅黑"/>
          <w:b/>
          <w:bCs/>
          <w:sz w:val="24"/>
          <w:szCs w:val="22"/>
        </w:rPr>
      </w:pPr>
      <w:r>
        <w:rPr>
          <w:rFonts w:hint="eastAsia" w:ascii="微软雅黑" w:hAnsi="微软雅黑" w:eastAsia="微软雅黑" w:cs="微软雅黑"/>
          <w:b/>
          <w:bCs/>
          <w:sz w:val="24"/>
        </w:rPr>
        <w:t>人工挖孔灌注桩施工工艺：</w:t>
      </w:r>
      <w:r>
        <w:rPr>
          <w:rFonts w:hint="eastAsia" w:ascii="微软雅黑" w:hAnsi="微软雅黑" w:eastAsia="微软雅黑" w:cs="微软雅黑"/>
          <w:b/>
          <w:bCs/>
          <w:sz w:val="24"/>
          <w:szCs w:val="22"/>
        </w:rPr>
        <w:t>适用范围及材料要求；机具设备、作业条件、施工工艺及要点；质量验收及标准。</w:t>
      </w:r>
    </w:p>
    <w:p>
      <w:pPr>
        <w:pStyle w:val="12"/>
        <w:numPr>
          <w:ilvl w:val="1"/>
          <w:numId w:val="3"/>
        </w:numPr>
        <w:ind w:firstLine="11" w:firstLineChars="0"/>
        <w:rPr>
          <w:rFonts w:ascii="微软雅黑" w:hAnsi="微软雅黑" w:eastAsia="微软雅黑" w:cs="微软雅黑"/>
          <w:b/>
          <w:bCs/>
          <w:sz w:val="24"/>
        </w:rPr>
      </w:pPr>
      <w:r>
        <w:rPr>
          <w:rFonts w:hint="eastAsia" w:ascii="微软雅黑" w:hAnsi="微软雅黑" w:eastAsia="微软雅黑" w:cs="微软雅黑"/>
          <w:b/>
          <w:bCs/>
          <w:sz w:val="24"/>
        </w:rPr>
        <w:t>回转钻成孔灌注桩施工工艺：适用范围、</w:t>
      </w:r>
      <w:r>
        <w:rPr>
          <w:rFonts w:ascii="微软雅黑" w:hAnsi="微软雅黑" w:eastAsia="微软雅黑" w:cs="微软雅黑"/>
          <w:b/>
          <w:bCs/>
          <w:sz w:val="24"/>
        </w:rPr>
        <w:t>材料要求；</w:t>
      </w:r>
      <w:r>
        <w:rPr>
          <w:rFonts w:hint="eastAsia" w:ascii="微软雅黑" w:hAnsi="微软雅黑" w:eastAsia="微软雅黑" w:cs="微软雅黑"/>
          <w:b/>
          <w:bCs/>
          <w:sz w:val="24"/>
        </w:rPr>
        <w:t>主要机具设备及作业条件、施工</w:t>
      </w:r>
      <w:r>
        <w:rPr>
          <w:rFonts w:ascii="微软雅黑" w:hAnsi="微软雅黑" w:eastAsia="微软雅黑" w:cs="微软雅黑"/>
          <w:b/>
          <w:bCs/>
          <w:sz w:val="24"/>
        </w:rPr>
        <w:t>工艺及要点；</w:t>
      </w:r>
      <w:r>
        <w:rPr>
          <w:rFonts w:hint="eastAsia" w:ascii="微软雅黑" w:hAnsi="微软雅黑" w:eastAsia="微软雅黑" w:cs="微软雅黑"/>
          <w:b/>
          <w:bCs/>
          <w:sz w:val="24"/>
        </w:rPr>
        <w:t>质量验收及标准。</w:t>
      </w:r>
    </w:p>
    <w:p>
      <w:pPr>
        <w:pStyle w:val="12"/>
        <w:numPr>
          <w:ilvl w:val="1"/>
          <w:numId w:val="3"/>
        </w:numPr>
        <w:ind w:firstLine="11" w:firstLineChars="0"/>
        <w:rPr>
          <w:rFonts w:ascii="微软雅黑" w:hAnsi="微软雅黑" w:eastAsia="微软雅黑" w:cs="微软雅黑"/>
          <w:b/>
          <w:bCs/>
          <w:sz w:val="24"/>
        </w:rPr>
      </w:pPr>
      <w:r>
        <w:rPr>
          <w:rFonts w:hint="eastAsia" w:ascii="微软雅黑" w:hAnsi="微软雅黑" w:eastAsia="微软雅黑" w:cs="微软雅黑"/>
          <w:b/>
          <w:bCs/>
          <w:sz w:val="24"/>
        </w:rPr>
        <w:t>土方施工工艺：适用</w:t>
      </w:r>
      <w:r>
        <w:rPr>
          <w:rFonts w:ascii="微软雅黑" w:hAnsi="微软雅黑" w:eastAsia="微软雅黑" w:cs="微软雅黑"/>
          <w:b/>
          <w:bCs/>
          <w:sz w:val="24"/>
        </w:rPr>
        <w:t>范围及机具</w:t>
      </w:r>
      <w:r>
        <w:rPr>
          <w:rFonts w:hint="eastAsia" w:ascii="微软雅黑" w:hAnsi="微软雅黑" w:eastAsia="微软雅黑" w:cs="微软雅黑"/>
          <w:b/>
          <w:bCs/>
          <w:sz w:val="24"/>
        </w:rPr>
        <w:t>；</w:t>
      </w:r>
      <w:r>
        <w:rPr>
          <w:rFonts w:ascii="微软雅黑" w:hAnsi="微软雅黑" w:eastAsia="微软雅黑" w:cs="微软雅黑"/>
          <w:b/>
          <w:bCs/>
          <w:sz w:val="24"/>
        </w:rPr>
        <w:t>作业条件、</w:t>
      </w:r>
      <w:r>
        <w:rPr>
          <w:rFonts w:hint="eastAsia" w:ascii="微软雅黑" w:hAnsi="微软雅黑" w:eastAsia="微软雅黑" w:cs="微软雅黑"/>
          <w:b/>
          <w:bCs/>
          <w:sz w:val="24"/>
        </w:rPr>
        <w:t>施工</w:t>
      </w:r>
      <w:r>
        <w:rPr>
          <w:rFonts w:ascii="微软雅黑" w:hAnsi="微软雅黑" w:eastAsia="微软雅黑" w:cs="微软雅黑"/>
          <w:b/>
          <w:bCs/>
          <w:sz w:val="24"/>
        </w:rPr>
        <w:t>工艺及要点；</w:t>
      </w:r>
      <w:r>
        <w:rPr>
          <w:rFonts w:hint="eastAsia" w:ascii="微软雅黑" w:hAnsi="微软雅黑" w:eastAsia="微软雅黑" w:cs="微软雅黑"/>
          <w:b/>
          <w:bCs/>
          <w:sz w:val="24"/>
        </w:rPr>
        <w:t>质量</w:t>
      </w:r>
      <w:r>
        <w:rPr>
          <w:rFonts w:ascii="微软雅黑" w:hAnsi="微软雅黑" w:eastAsia="微软雅黑" w:cs="微软雅黑"/>
          <w:b/>
          <w:bCs/>
          <w:sz w:val="24"/>
        </w:rPr>
        <w:t>通病控制方法；质量验收及标准。</w:t>
      </w:r>
    </w:p>
    <w:p>
      <w:pPr>
        <w:numPr>
          <w:ilvl w:val="1"/>
          <w:numId w:val="3"/>
        </w:numPr>
        <w:ind w:firstLine="11"/>
        <w:rPr>
          <w:rFonts w:hint="eastAsia" w:ascii="微软雅黑" w:hAnsi="微软雅黑" w:eastAsia="微软雅黑" w:cs="微软雅黑"/>
          <w:b/>
          <w:bCs/>
          <w:sz w:val="24"/>
          <w:szCs w:val="22"/>
        </w:rPr>
      </w:pPr>
      <w:r>
        <w:rPr>
          <w:rFonts w:hint="eastAsia" w:ascii="微软雅黑" w:hAnsi="微软雅黑" w:eastAsia="微软雅黑" w:cs="微软雅黑"/>
          <w:b/>
          <w:bCs/>
          <w:sz w:val="24"/>
        </w:rPr>
        <w:t>土方</w:t>
      </w:r>
      <w:r>
        <w:rPr>
          <w:rFonts w:ascii="微软雅黑" w:hAnsi="微软雅黑" w:eastAsia="微软雅黑" w:cs="微软雅黑"/>
          <w:b/>
          <w:bCs/>
          <w:sz w:val="24"/>
        </w:rPr>
        <w:t>回填</w:t>
      </w:r>
      <w:r>
        <w:rPr>
          <w:rFonts w:hint="eastAsia" w:ascii="微软雅黑" w:hAnsi="微软雅黑" w:eastAsia="微软雅黑" w:cs="微软雅黑"/>
          <w:b/>
          <w:bCs/>
          <w:sz w:val="24"/>
        </w:rPr>
        <w:t>施工</w:t>
      </w:r>
      <w:r>
        <w:rPr>
          <w:rFonts w:ascii="微软雅黑" w:hAnsi="微软雅黑" w:eastAsia="微软雅黑" w:cs="微软雅黑"/>
          <w:b/>
          <w:bCs/>
          <w:sz w:val="24"/>
        </w:rPr>
        <w:t>：</w:t>
      </w:r>
      <w:r>
        <w:rPr>
          <w:rFonts w:hint="eastAsia" w:ascii="微软雅黑" w:hAnsi="微软雅黑" w:eastAsia="微软雅黑" w:cs="微软雅黑"/>
          <w:b/>
          <w:bCs/>
          <w:sz w:val="24"/>
          <w:szCs w:val="22"/>
        </w:rPr>
        <w:t>适用范围及材料</w:t>
      </w:r>
      <w:r>
        <w:rPr>
          <w:rFonts w:ascii="微软雅黑" w:hAnsi="微软雅黑" w:eastAsia="微软雅黑" w:cs="微软雅黑"/>
          <w:b/>
          <w:bCs/>
          <w:sz w:val="24"/>
          <w:szCs w:val="22"/>
        </w:rPr>
        <w:t>要求</w:t>
      </w:r>
      <w:r>
        <w:rPr>
          <w:rFonts w:hint="eastAsia" w:ascii="微软雅黑" w:hAnsi="微软雅黑" w:eastAsia="微软雅黑" w:cs="微软雅黑"/>
          <w:b/>
          <w:bCs/>
          <w:sz w:val="24"/>
          <w:szCs w:val="22"/>
        </w:rPr>
        <w:t>；作业条件、施工工艺及要点；质量通病控制方法；质量验收及标准。</w:t>
      </w:r>
    </w:p>
    <w:p>
      <w:pPr>
        <w:numPr>
          <w:ilvl w:val="1"/>
          <w:numId w:val="3"/>
        </w:numPr>
        <w:ind w:firstLine="11"/>
        <w:rPr>
          <w:rFonts w:ascii="微软雅黑" w:hAnsi="微软雅黑" w:eastAsia="微软雅黑" w:cs="微软雅黑"/>
          <w:b/>
          <w:bCs/>
          <w:sz w:val="24"/>
          <w:szCs w:val="22"/>
        </w:rPr>
      </w:pPr>
      <w:r>
        <w:rPr>
          <w:rFonts w:hint="eastAsia" w:ascii="微软雅黑" w:hAnsi="微软雅黑" w:eastAsia="微软雅黑" w:cs="微软雅黑"/>
          <w:b/>
          <w:bCs/>
          <w:sz w:val="24"/>
        </w:rPr>
        <w:t>基坑支护施工工艺：浅基坑支护、排桩墙支护、地下连续墙支护、水泥土桩墙支护、土钉墙支护、逆作法施工；适用范围及材料要求；主要机具设备、作业条件、</w:t>
      </w:r>
      <w:r>
        <w:rPr>
          <w:rFonts w:hint="eastAsia" w:ascii="微软雅黑" w:hAnsi="微软雅黑" w:eastAsia="微软雅黑" w:cs="微软雅黑"/>
          <w:b/>
          <w:bCs/>
          <w:sz w:val="24"/>
          <w:szCs w:val="22"/>
        </w:rPr>
        <w:t>施工工艺及要点；质量验收及标准。</w:t>
      </w:r>
    </w:p>
    <w:p>
      <w:pPr>
        <w:rPr>
          <w:rFonts w:ascii="微软雅黑" w:hAnsi="微软雅黑" w:eastAsia="微软雅黑" w:cs="微软雅黑"/>
          <w:b/>
          <w:bCs/>
          <w:color w:val="FF0000"/>
          <w:sz w:val="24"/>
          <w:szCs w:val="22"/>
        </w:rPr>
      </w:pPr>
      <w:r>
        <w:rPr>
          <w:rFonts w:hint="eastAsia" w:ascii="微软雅黑" w:hAnsi="微软雅黑" w:eastAsia="微软雅黑" w:cs="微软雅黑"/>
          <w:b/>
          <w:bCs/>
          <w:color w:val="FF0000"/>
          <w:sz w:val="24"/>
          <w:szCs w:val="22"/>
        </w:rPr>
        <w:t>第三</w:t>
      </w:r>
      <w:r>
        <w:rPr>
          <w:rFonts w:ascii="微软雅黑" w:hAnsi="微软雅黑" w:eastAsia="微软雅黑" w:cs="微软雅黑"/>
          <w:b/>
          <w:bCs/>
          <w:color w:val="FF0000"/>
          <w:sz w:val="24"/>
          <w:szCs w:val="22"/>
        </w:rPr>
        <w:t>部分：</w:t>
      </w:r>
      <w:r>
        <w:rPr>
          <w:rFonts w:hint="eastAsia" w:ascii="微软雅黑" w:hAnsi="微软雅黑" w:eastAsia="微软雅黑" w:cs="微软雅黑"/>
          <w:b/>
          <w:bCs/>
          <w:color w:val="FF0000"/>
          <w:sz w:val="24"/>
          <w:szCs w:val="22"/>
        </w:rPr>
        <w:t>地基降水施工工艺</w:t>
      </w:r>
    </w:p>
    <w:p>
      <w:pPr>
        <w:numPr>
          <w:ilvl w:val="0"/>
          <w:numId w:val="4"/>
        </w:numPr>
        <w:spacing w:line="480" w:lineRule="auto"/>
        <w:ind w:hanging="49"/>
        <w:rPr>
          <w:rFonts w:ascii="微软雅黑" w:hAnsi="微软雅黑" w:eastAsia="微软雅黑" w:cs="微软雅黑"/>
          <w:b/>
          <w:bCs/>
          <w:sz w:val="24"/>
          <w:szCs w:val="22"/>
        </w:rPr>
      </w:pPr>
      <w:r>
        <w:rPr>
          <w:rFonts w:hint="eastAsia" w:ascii="微软雅黑" w:hAnsi="微软雅黑" w:eastAsia="微软雅黑" w:cs="微软雅黑"/>
          <w:b/>
          <w:bCs/>
          <w:sz w:val="24"/>
          <w:szCs w:val="22"/>
        </w:rPr>
        <w:t>地下水的不良作用：流土（砂）定义</w:t>
      </w:r>
      <w:r>
        <w:rPr>
          <w:rFonts w:ascii="微软雅黑" w:hAnsi="微软雅黑" w:eastAsia="微软雅黑" w:cs="微软雅黑"/>
          <w:b/>
          <w:bCs/>
          <w:sz w:val="24"/>
          <w:szCs w:val="22"/>
        </w:rPr>
        <w:t>、形成原因</w:t>
      </w:r>
      <w:r>
        <w:rPr>
          <w:rFonts w:hint="eastAsia" w:ascii="微软雅黑" w:hAnsi="微软雅黑" w:eastAsia="微软雅黑" w:cs="微软雅黑"/>
          <w:b/>
          <w:bCs/>
          <w:sz w:val="24"/>
          <w:szCs w:val="22"/>
        </w:rPr>
        <w:t>条件、发生地层</w:t>
      </w:r>
      <w:r>
        <w:rPr>
          <w:rFonts w:ascii="微软雅黑" w:hAnsi="微软雅黑" w:eastAsia="微软雅黑" w:cs="微软雅黑"/>
          <w:b/>
          <w:bCs/>
          <w:sz w:val="24"/>
          <w:szCs w:val="22"/>
        </w:rPr>
        <w:t>及</w:t>
      </w:r>
      <w:r>
        <w:rPr>
          <w:rFonts w:hint="eastAsia" w:ascii="微软雅黑" w:hAnsi="微软雅黑" w:eastAsia="微软雅黑" w:cs="微软雅黑"/>
          <w:b/>
          <w:bCs/>
          <w:sz w:val="24"/>
          <w:szCs w:val="22"/>
        </w:rPr>
        <w:t>工程</w:t>
      </w:r>
      <w:r>
        <w:rPr>
          <w:rFonts w:ascii="微软雅黑" w:hAnsi="微软雅黑" w:eastAsia="微软雅黑" w:cs="微软雅黑"/>
          <w:b/>
          <w:bCs/>
          <w:sz w:val="24"/>
          <w:szCs w:val="22"/>
        </w:rPr>
        <w:t>意义；</w:t>
      </w:r>
      <w:r>
        <w:rPr>
          <w:rFonts w:hint="eastAsia" w:ascii="微软雅黑" w:hAnsi="微软雅黑" w:eastAsia="微软雅黑" w:cs="微软雅黑"/>
          <w:b/>
          <w:bCs/>
          <w:sz w:val="24"/>
          <w:szCs w:val="22"/>
        </w:rPr>
        <w:t>管涌、基坑突涌的定义</w:t>
      </w:r>
      <w:r>
        <w:rPr>
          <w:rFonts w:ascii="微软雅黑" w:hAnsi="微软雅黑" w:eastAsia="微软雅黑" w:cs="微软雅黑"/>
          <w:b/>
          <w:bCs/>
          <w:sz w:val="24"/>
          <w:szCs w:val="22"/>
        </w:rPr>
        <w:t>及产生条件</w:t>
      </w:r>
      <w:r>
        <w:rPr>
          <w:rFonts w:hint="eastAsia" w:ascii="微软雅黑" w:hAnsi="微软雅黑" w:eastAsia="微软雅黑" w:cs="微软雅黑"/>
          <w:b/>
          <w:bCs/>
          <w:sz w:val="24"/>
          <w:szCs w:val="22"/>
        </w:rPr>
        <w:t>、</w:t>
      </w:r>
      <w:r>
        <w:rPr>
          <w:rFonts w:ascii="微软雅黑" w:hAnsi="微软雅黑" w:eastAsia="微软雅黑" w:cs="微软雅黑"/>
          <w:b/>
          <w:bCs/>
          <w:sz w:val="24"/>
          <w:szCs w:val="22"/>
        </w:rPr>
        <w:t>防治措施；</w:t>
      </w:r>
      <w:r>
        <w:rPr>
          <w:rFonts w:hint="eastAsia" w:ascii="微软雅黑" w:hAnsi="微软雅黑" w:eastAsia="微软雅黑" w:cs="微软雅黑"/>
          <w:b/>
          <w:bCs/>
          <w:sz w:val="24"/>
          <w:szCs w:val="22"/>
        </w:rPr>
        <w:t>接触冲刷与接触流失；案例</w:t>
      </w:r>
      <w:r>
        <w:rPr>
          <w:rFonts w:ascii="微软雅黑" w:hAnsi="微软雅黑" w:eastAsia="微软雅黑" w:cs="微软雅黑"/>
          <w:b/>
          <w:bCs/>
          <w:sz w:val="24"/>
          <w:szCs w:val="22"/>
        </w:rPr>
        <w:t>分析</w:t>
      </w:r>
      <w:r>
        <w:rPr>
          <w:rFonts w:hint="eastAsia" w:ascii="微软雅黑" w:hAnsi="微软雅黑" w:eastAsia="微软雅黑" w:cs="微软雅黑"/>
          <w:b/>
          <w:bCs/>
          <w:sz w:val="24"/>
          <w:szCs w:val="22"/>
        </w:rPr>
        <w:t>。</w:t>
      </w:r>
    </w:p>
    <w:p>
      <w:pPr>
        <w:numPr>
          <w:ilvl w:val="0"/>
          <w:numId w:val="4"/>
        </w:numPr>
        <w:spacing w:line="480" w:lineRule="auto"/>
        <w:ind w:hanging="49"/>
        <w:rPr>
          <w:rFonts w:ascii="微软雅黑" w:hAnsi="微软雅黑" w:eastAsia="微软雅黑" w:cs="微软雅黑"/>
          <w:b/>
          <w:bCs/>
          <w:sz w:val="24"/>
          <w:szCs w:val="22"/>
        </w:rPr>
      </w:pPr>
      <w:r>
        <w:rPr>
          <w:rFonts w:hint="eastAsia" w:ascii="微软雅黑" w:hAnsi="微软雅黑" w:eastAsia="微软雅黑" w:cs="微软雅黑"/>
          <w:b/>
          <w:bCs/>
          <w:sz w:val="24"/>
          <w:szCs w:val="22"/>
        </w:rPr>
        <w:t>冻结固结法基本概念：采用“冻结固结法”的地质水文条件；工艺原理及</w:t>
      </w:r>
      <w:r>
        <w:rPr>
          <w:rFonts w:ascii="微软雅黑" w:hAnsi="微软雅黑" w:eastAsia="微软雅黑" w:cs="微软雅黑"/>
          <w:b/>
          <w:bCs/>
          <w:sz w:val="24"/>
          <w:szCs w:val="22"/>
        </w:rPr>
        <w:t>施工工艺</w:t>
      </w:r>
      <w:r>
        <w:rPr>
          <w:rFonts w:hint="eastAsia" w:ascii="微软雅黑" w:hAnsi="微软雅黑" w:eastAsia="微软雅黑" w:cs="微软雅黑"/>
          <w:b/>
          <w:bCs/>
          <w:sz w:val="24"/>
          <w:szCs w:val="22"/>
        </w:rPr>
        <w:t>流程；</w:t>
      </w:r>
      <w:r>
        <w:rPr>
          <w:rFonts w:ascii="微软雅黑" w:hAnsi="微软雅黑" w:eastAsia="微软雅黑" w:cs="微软雅黑"/>
          <w:b/>
          <w:bCs/>
          <w:sz w:val="24"/>
          <w:szCs w:val="22"/>
        </w:rPr>
        <w:t>质量</w:t>
      </w:r>
      <w:r>
        <w:rPr>
          <w:rFonts w:hint="eastAsia" w:ascii="微软雅黑" w:hAnsi="微软雅黑" w:eastAsia="微软雅黑" w:cs="微软雅黑"/>
          <w:b/>
          <w:bCs/>
          <w:sz w:val="24"/>
          <w:szCs w:val="22"/>
        </w:rPr>
        <w:t>与</w:t>
      </w:r>
      <w:r>
        <w:rPr>
          <w:rFonts w:ascii="微软雅黑" w:hAnsi="微软雅黑" w:eastAsia="微软雅黑" w:cs="微软雅黑"/>
          <w:b/>
          <w:bCs/>
          <w:sz w:val="24"/>
          <w:szCs w:val="22"/>
        </w:rPr>
        <w:t>风险控制</w:t>
      </w:r>
      <w:r>
        <w:rPr>
          <w:rFonts w:hint="eastAsia" w:ascii="微软雅黑" w:hAnsi="微软雅黑" w:eastAsia="微软雅黑" w:cs="微软雅黑"/>
          <w:b/>
          <w:bCs/>
          <w:sz w:val="24"/>
          <w:szCs w:val="22"/>
        </w:rPr>
        <w:t>；</w:t>
      </w:r>
    </w:p>
    <w:p>
      <w:pPr>
        <w:numPr>
          <w:ilvl w:val="0"/>
          <w:numId w:val="4"/>
        </w:numPr>
        <w:spacing w:line="480" w:lineRule="auto"/>
        <w:ind w:hanging="49"/>
        <w:rPr>
          <w:rFonts w:ascii="微软雅黑" w:hAnsi="微软雅黑" w:eastAsia="微软雅黑" w:cs="微软雅黑"/>
          <w:b/>
          <w:bCs/>
          <w:sz w:val="24"/>
          <w:szCs w:val="22"/>
        </w:rPr>
      </w:pPr>
      <w:r>
        <w:rPr>
          <w:rFonts w:hint="eastAsia" w:ascii="微软雅黑" w:hAnsi="微软雅黑" w:eastAsia="微软雅黑" w:cs="微软雅黑"/>
          <w:b/>
          <w:bCs/>
          <w:sz w:val="24"/>
          <w:szCs w:val="22"/>
        </w:rPr>
        <w:t>压密注浆法施工工艺：适用范围及材料要求；主要机具、施工工艺及要点；质量</w:t>
      </w:r>
      <w:r>
        <w:rPr>
          <w:rFonts w:ascii="微软雅黑" w:hAnsi="微软雅黑" w:eastAsia="微软雅黑" w:cs="微软雅黑"/>
          <w:b/>
          <w:bCs/>
          <w:sz w:val="24"/>
          <w:szCs w:val="22"/>
        </w:rPr>
        <w:t>标准。</w:t>
      </w:r>
    </w:p>
    <w:p>
      <w:pPr>
        <w:numPr>
          <w:ilvl w:val="0"/>
          <w:numId w:val="4"/>
        </w:numPr>
        <w:spacing w:line="480" w:lineRule="auto"/>
        <w:ind w:hanging="49"/>
        <w:rPr>
          <w:rFonts w:ascii="微软雅黑" w:hAnsi="微软雅黑" w:eastAsia="微软雅黑" w:cs="微软雅黑"/>
          <w:b/>
          <w:bCs/>
          <w:sz w:val="24"/>
          <w:szCs w:val="22"/>
        </w:rPr>
      </w:pPr>
      <w:r>
        <w:rPr>
          <w:rFonts w:hint="eastAsia" w:ascii="微软雅黑" w:hAnsi="微软雅黑" w:eastAsia="微软雅黑" w:cs="微软雅黑"/>
          <w:b/>
          <w:bCs/>
          <w:sz w:val="24"/>
          <w:szCs w:val="22"/>
        </w:rPr>
        <w:t>基坑降水方法：地基降水目的及原因；降水方法分类；质量控制和</w:t>
      </w:r>
      <w:r>
        <w:rPr>
          <w:rFonts w:ascii="微软雅黑" w:hAnsi="微软雅黑" w:eastAsia="微软雅黑" w:cs="微软雅黑"/>
          <w:b/>
          <w:bCs/>
          <w:sz w:val="24"/>
          <w:szCs w:val="22"/>
        </w:rPr>
        <w:t>安全保证</w:t>
      </w:r>
      <w:r>
        <w:rPr>
          <w:rFonts w:hint="eastAsia" w:ascii="微软雅黑" w:hAnsi="微软雅黑" w:eastAsia="微软雅黑" w:cs="微软雅黑"/>
          <w:b/>
          <w:bCs/>
          <w:sz w:val="24"/>
          <w:szCs w:val="22"/>
        </w:rPr>
        <w:t>措施。</w:t>
      </w:r>
    </w:p>
    <w:p>
      <w:pPr>
        <w:numPr>
          <w:ilvl w:val="0"/>
          <w:numId w:val="4"/>
        </w:numPr>
        <w:spacing w:line="480" w:lineRule="auto"/>
        <w:ind w:hanging="49"/>
        <w:rPr>
          <w:rFonts w:hint="eastAsia" w:ascii="微软雅黑" w:hAnsi="微软雅黑" w:eastAsia="微软雅黑" w:cs="微软雅黑"/>
          <w:b/>
          <w:bCs/>
          <w:sz w:val="24"/>
          <w:szCs w:val="22"/>
        </w:rPr>
      </w:pPr>
      <w:r>
        <w:rPr>
          <w:rFonts w:hint="eastAsia" w:ascii="微软雅黑" w:hAnsi="微软雅黑" w:eastAsia="微软雅黑" w:cs="微软雅黑"/>
          <w:b/>
          <w:bCs/>
          <w:sz w:val="24"/>
          <w:szCs w:val="22"/>
        </w:rPr>
        <w:t>降水设计计算：降水设计的内容；降水井的类型；常规降水方法适用条件；基坑涌水量计算。</w:t>
      </w:r>
    </w:p>
    <w:p>
      <w:pPr>
        <w:pStyle w:val="12"/>
        <w:ind w:left="840" w:firstLine="0" w:firstLineChars="0"/>
        <w:rPr>
          <w:rFonts w:hint="eastAsia" w:ascii="微软雅黑" w:hAnsi="微软雅黑" w:eastAsia="微软雅黑" w:cs="微软雅黑"/>
          <w:b/>
          <w:sz w:val="24"/>
        </w:rPr>
      </w:pPr>
    </w:p>
    <w:p>
      <w:pPr>
        <w:adjustRightInd w:val="0"/>
        <w:snapToGrid w:val="0"/>
        <w:spacing w:line="288" w:lineRule="auto"/>
        <w:ind w:left="1418" w:hanging="567"/>
        <w:jc w:val="center"/>
        <w:rPr>
          <w:rFonts w:ascii="微软雅黑" w:hAnsi="微软雅黑" w:eastAsia="微软雅黑" w:cs="宋体"/>
          <w:b/>
          <w:color w:val="404040"/>
          <w:spacing w:val="10"/>
          <w:szCs w:val="21"/>
        </w:rPr>
      </w:pPr>
      <w:r>
        <w:rPr>
          <w:rFonts w:ascii="微软雅黑" w:hAnsi="微软雅黑" w:eastAsia="微软雅黑" w:cs="微软雅黑"/>
          <w:sz w:val="28"/>
          <w:szCs w:val="28"/>
        </w:rPr>
        <w:br w:type="page"/>
      </w:r>
      <w:r>
        <w:rPr>
          <w:rFonts w:ascii="微软雅黑" w:hAnsi="微软雅黑" w:eastAsia="微软雅黑" w:cs="宋体"/>
          <w:b/>
          <w:color w:val="404040"/>
          <w:spacing w:val="10"/>
          <w:szCs w:val="21"/>
          <w:lang/>
        </w:rPr>
        <w:drawing>
          <wp:inline distT="0" distB="0" distL="114300" distR="114300">
            <wp:extent cx="6199505" cy="394970"/>
            <wp:effectExtent l="0" t="0" r="3175" b="12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5"/>
                    <a:stretch>
                      <a:fillRect/>
                    </a:stretch>
                  </pic:blipFill>
                  <pic:spPr>
                    <a:xfrm>
                      <a:off x="0" y="0"/>
                      <a:ext cx="6199505" cy="394970"/>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11480"/>
            <wp:effectExtent l="0" t="0" r="0" b="0"/>
            <wp:docPr id="6"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职业背景"/>
                    <pic:cNvPicPr>
                      <a:picLocks noChangeAspect="1"/>
                    </pic:cNvPicPr>
                  </pic:nvPicPr>
                  <pic:blipFill>
                    <a:blip r:embed="rId6"/>
                    <a:stretch>
                      <a:fillRect/>
                    </a:stretch>
                  </pic:blipFill>
                  <pic:spPr>
                    <a:xfrm>
                      <a:off x="0" y="0"/>
                      <a:ext cx="6172200" cy="411480"/>
                    </a:xfrm>
                    <a:prstGeom prst="rect">
                      <a:avLst/>
                    </a:prstGeom>
                    <a:noFill/>
                    <a:ln>
                      <a:noFill/>
                    </a:ln>
                  </pic:spPr>
                </pic:pic>
              </a:graphicData>
            </a:graphic>
          </wp:inline>
        </w:drawing>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5"/>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88710" cy="412750"/>
            <wp:effectExtent l="0" t="0" r="13970" b="13970"/>
            <wp:docPr id="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9"/>
                    <pic:cNvPicPr>
                      <a:picLocks noChangeAspect="1"/>
                    </pic:cNvPicPr>
                  </pic:nvPicPr>
                  <pic:blipFill>
                    <a:blip r:embed="rId7"/>
                    <a:stretch>
                      <a:fillRect/>
                    </a:stretch>
                  </pic:blipFill>
                  <pic:spPr>
                    <a:xfrm>
                      <a:off x="0" y="0"/>
                      <a:ext cx="6188710" cy="412750"/>
                    </a:xfrm>
                    <a:prstGeom prst="rect">
                      <a:avLst/>
                    </a:prstGeom>
                    <a:noFill/>
                    <a:ln>
                      <a:noFill/>
                    </a:ln>
                  </pic:spPr>
                </pic:pic>
              </a:graphicData>
            </a:graphic>
          </wp:inline>
        </w:drawing>
      </w:r>
    </w:p>
    <w:p>
      <w:pPr>
        <w:pStyle w:val="12"/>
        <w:widowControl/>
        <w:numPr>
          <w:ilvl w:val="0"/>
          <w:numId w:val="6"/>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88710" cy="412750"/>
            <wp:effectExtent l="0" t="0" r="13970" b="13970"/>
            <wp:docPr id="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0"/>
                    <pic:cNvPicPr>
                      <a:picLocks noChangeAspect="1"/>
                    </pic:cNvPicPr>
                  </pic:nvPicPr>
                  <pic:blipFill>
                    <a:blip r:embed="rId8"/>
                    <a:stretch>
                      <a:fillRect/>
                    </a:stretch>
                  </pic:blipFill>
                  <pic:spPr>
                    <a:xfrm>
                      <a:off x="0" y="0"/>
                      <a:ext cx="6188710" cy="412750"/>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9"/>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3"/>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w:t>
      </w:r>
      <w:bookmarkStart w:id="6" w:name="_Hlk118438008"/>
      <w:r>
        <w:rPr>
          <w:rFonts w:hint="eastAsia" w:ascii="微软雅黑" w:hAnsi="微软雅黑" w:eastAsia="微软雅黑" w:cs="微软雅黑"/>
          <w:color w:val="404040"/>
          <w:szCs w:val="21"/>
          <w:highlight w:val="yellow"/>
        </w:rPr>
        <w:t>地基基础施工工艺</w:t>
      </w:r>
      <w:bookmarkEnd w:id="6"/>
      <w:r>
        <w:rPr>
          <w:rFonts w:hint="eastAsia" w:ascii="微软雅黑" w:hAnsi="微软雅黑" w:eastAsia="微软雅黑" w:cs="微软雅黑"/>
          <w:color w:val="404040"/>
          <w:szCs w:val="21"/>
          <w:highlight w:val="yellow"/>
        </w:rPr>
        <w:t>管控要点及实战案例》</w:t>
      </w:r>
      <w:r>
        <w:rPr>
          <w:rFonts w:hint="eastAsia" w:ascii="微软雅黑" w:hAnsi="微软雅黑" w:eastAsia="微软雅黑" w:cs="微软雅黑"/>
          <w:b/>
          <w:color w:val="404040"/>
          <w:szCs w:val="21"/>
          <w:highlight w:val="yellow"/>
        </w:rPr>
        <w:t>（岩土工程专业地基基础施工工艺管理提升课程）</w:t>
      </w:r>
    </w:p>
    <w:p>
      <w:pPr>
        <w:numPr>
          <w:ilvl w:val="0"/>
          <w:numId w:val="14"/>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43A379AE"/>
    <w:multiLevelType w:val="multilevel"/>
    <w:tmpl w:val="43A379AE"/>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5471437E"/>
    <w:multiLevelType w:val="multilevel"/>
    <w:tmpl w:val="5471437E"/>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9CF2C12"/>
    <w:multiLevelType w:val="multilevel"/>
    <w:tmpl w:val="59CF2C12"/>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9">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1">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7"/>
  </w:num>
  <w:num w:numId="2">
    <w:abstractNumId w:val="2"/>
  </w:num>
  <w:num w:numId="3">
    <w:abstractNumId w:val="6"/>
  </w:num>
  <w:num w:numId="4">
    <w:abstractNumId w:val="5"/>
  </w:num>
  <w:num w:numId="5">
    <w:abstractNumId w:val="3"/>
  </w:num>
  <w:num w:numId="6">
    <w:abstractNumId w:val="11"/>
  </w:num>
  <w:num w:numId="7">
    <w:abstractNumId w:val="0"/>
  </w:num>
  <w:num w:numId="8">
    <w:abstractNumId w:val="4"/>
  </w:num>
  <w:num w:numId="9">
    <w:abstractNumId w:val="10"/>
  </w:num>
  <w:num w:numId="10">
    <w:abstractNumId w:val="8"/>
  </w:num>
  <w:num w:numId="11">
    <w:abstractNumId w:val="1"/>
  </w:num>
  <w:num w:numId="12">
    <w:abstractNumId w:val="8"/>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122C"/>
    <w:rsid w:val="00003AEB"/>
    <w:rsid w:val="00006AC8"/>
    <w:rsid w:val="00064028"/>
    <w:rsid w:val="00075514"/>
    <w:rsid w:val="00091A7F"/>
    <w:rsid w:val="0009275D"/>
    <w:rsid w:val="000979CB"/>
    <w:rsid w:val="000B6C4B"/>
    <w:rsid w:val="000C6C71"/>
    <w:rsid w:val="000D195B"/>
    <w:rsid w:val="00100B88"/>
    <w:rsid w:val="0011547E"/>
    <w:rsid w:val="0013013A"/>
    <w:rsid w:val="0013535E"/>
    <w:rsid w:val="00140F17"/>
    <w:rsid w:val="001429C5"/>
    <w:rsid w:val="0015199E"/>
    <w:rsid w:val="00151DB4"/>
    <w:rsid w:val="0015295D"/>
    <w:rsid w:val="001745C7"/>
    <w:rsid w:val="001823FF"/>
    <w:rsid w:val="00184C6E"/>
    <w:rsid w:val="00185EEB"/>
    <w:rsid w:val="00191555"/>
    <w:rsid w:val="001C391F"/>
    <w:rsid w:val="001E0A5E"/>
    <w:rsid w:val="001E6544"/>
    <w:rsid w:val="001F216E"/>
    <w:rsid w:val="001F3EF8"/>
    <w:rsid w:val="002170AA"/>
    <w:rsid w:val="00222A87"/>
    <w:rsid w:val="002434FF"/>
    <w:rsid w:val="00244CE4"/>
    <w:rsid w:val="00247570"/>
    <w:rsid w:val="002555A4"/>
    <w:rsid w:val="00263A6F"/>
    <w:rsid w:val="002742A6"/>
    <w:rsid w:val="00277808"/>
    <w:rsid w:val="00286226"/>
    <w:rsid w:val="002877F6"/>
    <w:rsid w:val="0029011D"/>
    <w:rsid w:val="00290A2A"/>
    <w:rsid w:val="00291C6C"/>
    <w:rsid w:val="00291E66"/>
    <w:rsid w:val="002941B6"/>
    <w:rsid w:val="002C08EF"/>
    <w:rsid w:val="002D6EF4"/>
    <w:rsid w:val="002F64A0"/>
    <w:rsid w:val="0031596C"/>
    <w:rsid w:val="0033554E"/>
    <w:rsid w:val="00350713"/>
    <w:rsid w:val="00351253"/>
    <w:rsid w:val="00351908"/>
    <w:rsid w:val="0035444C"/>
    <w:rsid w:val="00363BA6"/>
    <w:rsid w:val="0036613B"/>
    <w:rsid w:val="00366363"/>
    <w:rsid w:val="00386F07"/>
    <w:rsid w:val="0038765F"/>
    <w:rsid w:val="00396363"/>
    <w:rsid w:val="003A7457"/>
    <w:rsid w:val="003E619C"/>
    <w:rsid w:val="00404613"/>
    <w:rsid w:val="00407036"/>
    <w:rsid w:val="00423F1E"/>
    <w:rsid w:val="00425A3F"/>
    <w:rsid w:val="00444F0F"/>
    <w:rsid w:val="004560C9"/>
    <w:rsid w:val="00460105"/>
    <w:rsid w:val="00471979"/>
    <w:rsid w:val="00475856"/>
    <w:rsid w:val="00486FFE"/>
    <w:rsid w:val="00492F72"/>
    <w:rsid w:val="00494044"/>
    <w:rsid w:val="004A11DA"/>
    <w:rsid w:val="004A1970"/>
    <w:rsid w:val="004A1C68"/>
    <w:rsid w:val="004B7E82"/>
    <w:rsid w:val="004C150C"/>
    <w:rsid w:val="004E1C26"/>
    <w:rsid w:val="005100D5"/>
    <w:rsid w:val="0051455E"/>
    <w:rsid w:val="0051520C"/>
    <w:rsid w:val="00517B4D"/>
    <w:rsid w:val="00520471"/>
    <w:rsid w:val="00531E46"/>
    <w:rsid w:val="00535560"/>
    <w:rsid w:val="00553F13"/>
    <w:rsid w:val="0058697F"/>
    <w:rsid w:val="00596E95"/>
    <w:rsid w:val="005A0CDB"/>
    <w:rsid w:val="006032CF"/>
    <w:rsid w:val="00620066"/>
    <w:rsid w:val="00633212"/>
    <w:rsid w:val="0065567F"/>
    <w:rsid w:val="0067469A"/>
    <w:rsid w:val="00687D03"/>
    <w:rsid w:val="0069591E"/>
    <w:rsid w:val="006D3DEF"/>
    <w:rsid w:val="006E0E13"/>
    <w:rsid w:val="00707C86"/>
    <w:rsid w:val="007348CC"/>
    <w:rsid w:val="007726F3"/>
    <w:rsid w:val="00785A8D"/>
    <w:rsid w:val="007B03E7"/>
    <w:rsid w:val="007C3FBD"/>
    <w:rsid w:val="007D67FE"/>
    <w:rsid w:val="007E27AF"/>
    <w:rsid w:val="007F4482"/>
    <w:rsid w:val="00802A72"/>
    <w:rsid w:val="00821D88"/>
    <w:rsid w:val="008235F6"/>
    <w:rsid w:val="00857F09"/>
    <w:rsid w:val="00864CBE"/>
    <w:rsid w:val="00885472"/>
    <w:rsid w:val="008942DA"/>
    <w:rsid w:val="008952AF"/>
    <w:rsid w:val="008D4B6F"/>
    <w:rsid w:val="009031C7"/>
    <w:rsid w:val="009421E2"/>
    <w:rsid w:val="0097034A"/>
    <w:rsid w:val="0098470E"/>
    <w:rsid w:val="009850BB"/>
    <w:rsid w:val="00993554"/>
    <w:rsid w:val="009A6653"/>
    <w:rsid w:val="009D62C8"/>
    <w:rsid w:val="009E0E25"/>
    <w:rsid w:val="009E7AED"/>
    <w:rsid w:val="009F0DAD"/>
    <w:rsid w:val="009F1F2C"/>
    <w:rsid w:val="009F5577"/>
    <w:rsid w:val="00A0328B"/>
    <w:rsid w:val="00A07440"/>
    <w:rsid w:val="00A236B2"/>
    <w:rsid w:val="00A520D1"/>
    <w:rsid w:val="00A522F0"/>
    <w:rsid w:val="00A54B56"/>
    <w:rsid w:val="00A6583C"/>
    <w:rsid w:val="00A76C3F"/>
    <w:rsid w:val="00A80D66"/>
    <w:rsid w:val="00A86084"/>
    <w:rsid w:val="00A8706F"/>
    <w:rsid w:val="00AC5E27"/>
    <w:rsid w:val="00AF3B0E"/>
    <w:rsid w:val="00B24901"/>
    <w:rsid w:val="00B26918"/>
    <w:rsid w:val="00B41CD2"/>
    <w:rsid w:val="00B4606B"/>
    <w:rsid w:val="00B648A0"/>
    <w:rsid w:val="00B65FDE"/>
    <w:rsid w:val="00B71905"/>
    <w:rsid w:val="00B825E2"/>
    <w:rsid w:val="00BA370E"/>
    <w:rsid w:val="00BD67F0"/>
    <w:rsid w:val="00BD6A6C"/>
    <w:rsid w:val="00BF4D86"/>
    <w:rsid w:val="00BF7C13"/>
    <w:rsid w:val="00C00C29"/>
    <w:rsid w:val="00C064AA"/>
    <w:rsid w:val="00C20267"/>
    <w:rsid w:val="00C231BA"/>
    <w:rsid w:val="00C4273D"/>
    <w:rsid w:val="00C44ECE"/>
    <w:rsid w:val="00C5318E"/>
    <w:rsid w:val="00C62174"/>
    <w:rsid w:val="00C675A5"/>
    <w:rsid w:val="00C92DE5"/>
    <w:rsid w:val="00CA3002"/>
    <w:rsid w:val="00CB4502"/>
    <w:rsid w:val="00CE2DC1"/>
    <w:rsid w:val="00CF24E5"/>
    <w:rsid w:val="00D05669"/>
    <w:rsid w:val="00D225D1"/>
    <w:rsid w:val="00D352D3"/>
    <w:rsid w:val="00D37612"/>
    <w:rsid w:val="00D80B19"/>
    <w:rsid w:val="00D91AE6"/>
    <w:rsid w:val="00D9536D"/>
    <w:rsid w:val="00DA56A6"/>
    <w:rsid w:val="00DC3C68"/>
    <w:rsid w:val="00DD306B"/>
    <w:rsid w:val="00DE24E2"/>
    <w:rsid w:val="00DE3153"/>
    <w:rsid w:val="00DF631C"/>
    <w:rsid w:val="00E331C2"/>
    <w:rsid w:val="00E44D73"/>
    <w:rsid w:val="00E50433"/>
    <w:rsid w:val="00E677AD"/>
    <w:rsid w:val="00E90178"/>
    <w:rsid w:val="00E943B1"/>
    <w:rsid w:val="00E94B94"/>
    <w:rsid w:val="00EB2815"/>
    <w:rsid w:val="00ED2A8A"/>
    <w:rsid w:val="00ED65FA"/>
    <w:rsid w:val="00EE02BD"/>
    <w:rsid w:val="00F07422"/>
    <w:rsid w:val="00F21560"/>
    <w:rsid w:val="00F25A99"/>
    <w:rsid w:val="00F327BC"/>
    <w:rsid w:val="00F33918"/>
    <w:rsid w:val="00F3594E"/>
    <w:rsid w:val="00F772E3"/>
    <w:rsid w:val="00F91CFC"/>
    <w:rsid w:val="00F92274"/>
    <w:rsid w:val="00F934E6"/>
    <w:rsid w:val="00FB14AC"/>
    <w:rsid w:val="00FB1623"/>
    <w:rsid w:val="00FB280B"/>
    <w:rsid w:val="00FB2BB1"/>
    <w:rsid w:val="00FB5406"/>
    <w:rsid w:val="00FE2EF0"/>
    <w:rsid w:val="00FE71FA"/>
    <w:rsid w:val="00FF0C2C"/>
    <w:rsid w:val="00FF242A"/>
    <w:rsid w:val="00FF6061"/>
    <w:rsid w:val="062250B0"/>
    <w:rsid w:val="077310CE"/>
    <w:rsid w:val="08026160"/>
    <w:rsid w:val="08D377D6"/>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4406</Words>
  <Characters>4418</Characters>
  <Lines>32</Lines>
  <Paragraphs>9</Paragraphs>
  <TotalTime>0</TotalTime>
  <ScaleCrop>false</ScaleCrop>
  <LinksUpToDate>false</LinksUpToDate>
  <CharactersWithSpaces>4446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2022-04-22T11:20:00Z</dcterms:created>
  <dc:creator>微软中国</dc:creator>
  <cp:lastModifiedBy>蓉儿</cp:lastModifiedBy>
  <dcterms:modified xsi:type="dcterms:W3CDTF">2023-01-04T08:25:39Z</dcterms:modified>
  <dc:title>在当前房地产行业中，设计管理一直是各地产公司管理的焦点和难点</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0C624A4B3A0A4E04B185CCC748D8AC2F</vt:lpwstr>
  </property>
</Properties>
</file>