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567" w:leftChars="270"/>
        <w:jc w:val="center"/>
        <w:rPr>
          <w:rFonts w:hint="eastAsia" w:ascii="微软雅黑" w:hAnsi="微软雅黑" w:eastAsia="微软雅黑" w:cs="微软雅黑"/>
          <w:b/>
          <w:bCs/>
          <w:sz w:val="28"/>
          <w:szCs w:val="28"/>
        </w:rPr>
      </w:pPr>
      <w:bookmarkStart w:id="0" w:name="_Hlk118342641"/>
      <w:bookmarkStart w:id="10" w:name="_GoBack"/>
      <w:bookmarkEnd w:id="10"/>
      <w:r>
        <w:rPr>
          <w:rFonts w:hint="eastAsia" w:ascii="微软雅黑" w:hAnsi="微软雅黑" w:eastAsia="微软雅黑" w:cs="微软雅黑"/>
          <w:b/>
          <w:bCs/>
          <w:sz w:val="24"/>
        </w:rPr>
        <w:t>装饰装修施工工艺管控要点及实战案例</w:t>
      </w:r>
    </w:p>
    <w:bookmarkEnd w:id="0"/>
    <w:p>
      <w:pPr>
        <w:spacing w:line="480" w:lineRule="exact"/>
        <w:ind w:left="567" w:leftChars="270"/>
        <w:rPr>
          <w:rFonts w:hint="eastAsia" w:ascii="微软雅黑" w:hAnsi="微软雅黑" w:eastAsia="微软雅黑" w:cs="微软雅黑"/>
          <w:sz w:val="28"/>
          <w:szCs w:val="28"/>
        </w:rPr>
      </w:pPr>
      <w:r>
        <w:rPr>
          <w:b/>
          <w:bCs/>
          <w:sz w:val="28"/>
          <w:szCs w:val="28"/>
        </w:rPr>
        <mc:AlternateContent>
          <mc:Choice Requires="wps">
            <w:drawing>
              <wp:anchor distT="0" distB="0" distL="114300" distR="114300" simplePos="0" relativeHeight="251662336" behindDoc="0" locked="0" layoutInCell="1" allowOverlap="1">
                <wp:simplePos x="0" y="0"/>
                <wp:positionH relativeFrom="column">
                  <wp:posOffset>128905</wp:posOffset>
                </wp:positionH>
                <wp:positionV relativeFrom="paragraph">
                  <wp:posOffset>209550</wp:posOffset>
                </wp:positionV>
                <wp:extent cx="1064895" cy="374015"/>
                <wp:effectExtent l="4445" t="4445" r="12700" b="17780"/>
                <wp:wrapSquare wrapText="bothSides"/>
                <wp:docPr id="4" name="文本框 10"/>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【课程背景】</w:t>
                            </w:r>
                          </w:p>
                        </w:txbxContent>
                      </wps:txbx>
                      <wps:bodyPr wrap="square" upright="1"/>
                    </wps:wsp>
                  </a:graphicData>
                </a:graphic>
              </wp:anchor>
            </w:drawing>
          </mc:Choice>
          <mc:Fallback>
            <w:pict>
              <v:shape id="文本框 10" o:spid="_x0000_s1026" o:spt="202" type="#_x0000_t202" style="position:absolute;left:0pt;margin-left:10.15pt;margin-top:16.5pt;height:29.45pt;width:83.85pt;mso-wrap-distance-bottom:0pt;mso-wrap-distance-left:9pt;mso-wrap-distance-right:9pt;mso-wrap-distance-top:0pt;z-index:251662336;mso-width-relative:page;mso-height-relative:page;" fillcolor="#000000" filled="t" stroked="t" coordsize="21600,21600" o:gfxdata="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vgTYhtcAAAAIAQAADwAA&#10;AAAAAAABACAAAAAiAAAAZHJzL2Rvd25yZXYueG1sUEsBAhQAFAAAAAgAh07iQD4S5aoXAgAARQ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【课程背景】</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spacing w:line="480" w:lineRule="exact"/>
        <w:ind w:firstLine="480" w:firstLineChars="200"/>
        <w:rPr>
          <w:rFonts w:hint="eastAsia" w:ascii="微软雅黑" w:hAnsi="微软雅黑" w:eastAsia="微软雅黑" w:cs="微软雅黑"/>
          <w:sz w:val="24"/>
        </w:rPr>
      </w:pP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ind w:firstLine="480" w:firstLineChars="200"/>
        <w:rPr>
          <w:rFonts w:hint="eastAsia" w:ascii="微软雅黑" w:hAnsi="微软雅黑" w:eastAsia="微软雅黑" w:cs="微软雅黑"/>
          <w:color w:val="FF0000"/>
          <w:sz w:val="24"/>
        </w:rPr>
      </w:pPr>
    </w:p>
    <w:p>
      <w:pPr>
        <w:spacing w:line="480" w:lineRule="exact"/>
        <w:ind w:left="567" w:leftChars="270"/>
        <w:rPr>
          <w:rFonts w:hint="eastAsia" w:ascii="微软雅黑" w:hAnsi="微软雅黑" w:eastAsia="微软雅黑" w:cs="微软雅黑"/>
          <w:sz w:val="28"/>
          <w:szCs w:val="28"/>
        </w:rPr>
      </w:pPr>
      <w:r>
        <w:rPr>
          <w:sz w:val="28"/>
          <w:szCs w:val="28"/>
        </w:rPr>
        <mc:AlternateContent>
          <mc:Choice Requires="wps">
            <w:drawing>
              <wp:anchor distT="0" distB="0" distL="114300" distR="114300" simplePos="0" relativeHeight="251659264" behindDoc="0" locked="0" layoutInCell="1" allowOverlap="1">
                <wp:simplePos x="0" y="0"/>
                <wp:positionH relativeFrom="column">
                  <wp:posOffset>99060</wp:posOffset>
                </wp:positionH>
                <wp:positionV relativeFrom="paragraph">
                  <wp:posOffset>162560</wp:posOffset>
                </wp:positionV>
                <wp:extent cx="1064895" cy="374015"/>
                <wp:effectExtent l="4445" t="4445" r="12700" b="17780"/>
                <wp:wrapSquare wrapText="bothSides"/>
                <wp:docPr id="1" name="文本框 7"/>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【课程收益】</w:t>
                            </w:r>
                          </w:p>
                        </w:txbxContent>
                      </wps:txbx>
                      <wps:bodyPr wrap="square" upright="1"/>
                    </wps:wsp>
                  </a:graphicData>
                </a:graphic>
              </wp:anchor>
            </w:drawing>
          </mc:Choice>
          <mc:Fallback>
            <w:pict>
              <v:shape id="文本框 7" o:spid="_x0000_s1026" o:spt="202" type="#_x0000_t202" style="position:absolute;left:0pt;margin-left:7.8pt;margin-top:12.8pt;height:29.45pt;width:83.85pt;mso-wrap-distance-bottom:0pt;mso-wrap-distance-left:9pt;mso-wrap-distance-right:9pt;mso-wrap-distance-top:0pt;z-index:251659264;mso-width-relative:page;mso-height-relative:page;" fillcolor="#000000" filled="t" stroked="t" coordsize="21600,21600" o:gfxdata="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oHodzXAAAACAEAAA8AAAAA&#10;AAAAAQAgAAAAIgAAAGRycy9kb3ducmV2LnhtbFBLAQIUABQAAAAIAIdO4kA3cmPLFQIAAEQEAAAO&#10;AAAAAAAAAAEAIAAAACYBAABkcnMvZTJvRG9jLnhtbFBLBQYAAAAABgAGAFkBAACtBQ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【课程收益】</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pStyle w:val="12"/>
        <w:numPr>
          <w:ilvl w:val="0"/>
          <w:numId w:val="1"/>
        </w:numPr>
        <w:spacing w:line="600" w:lineRule="auto"/>
        <w:ind w:firstLineChars="0"/>
        <w:rPr>
          <w:rFonts w:ascii="微软雅黑" w:hAnsi="微软雅黑" w:eastAsia="微软雅黑" w:cs="微软雅黑"/>
          <w:sz w:val="24"/>
        </w:rPr>
      </w:pPr>
      <w:r>
        <w:rPr>
          <w:rFonts w:hint="eastAsia" w:ascii="微软雅黑" w:hAnsi="微软雅黑" w:eastAsia="微软雅黑" w:cs="微软雅黑"/>
          <w:sz w:val="24"/>
        </w:rPr>
        <w:t>深刻理解并体会工程管理各专业工程工艺工法和质量控制</w:t>
      </w:r>
    </w:p>
    <w:p>
      <w:pPr>
        <w:pStyle w:val="12"/>
        <w:numPr>
          <w:ilvl w:val="0"/>
          <w:numId w:val="1"/>
        </w:numPr>
        <w:spacing w:line="600" w:lineRule="auto"/>
        <w:ind w:firstLineChars="0"/>
        <w:rPr>
          <w:rFonts w:ascii="微软雅黑" w:hAnsi="微软雅黑" w:eastAsia="微软雅黑" w:cs="微软雅黑"/>
          <w:sz w:val="24"/>
        </w:rPr>
      </w:pPr>
      <w:r>
        <w:rPr>
          <w:rFonts w:hint="eastAsia" w:ascii="微软雅黑" w:hAnsi="微软雅黑" w:eastAsia="微软雅黑" w:cs="微软雅黑"/>
          <w:sz w:val="24"/>
        </w:rPr>
        <w:t>提高员工工程工艺基本操作管理意识</w:t>
      </w:r>
    </w:p>
    <w:p>
      <w:pPr>
        <w:pStyle w:val="12"/>
        <w:numPr>
          <w:ilvl w:val="0"/>
          <w:numId w:val="1"/>
        </w:numPr>
        <w:spacing w:line="600" w:lineRule="auto"/>
        <w:ind w:firstLineChars="0"/>
        <w:rPr>
          <w:rFonts w:ascii="微软雅黑" w:hAnsi="微软雅黑" w:eastAsia="微软雅黑" w:cs="微软雅黑"/>
          <w:sz w:val="24"/>
        </w:rPr>
      </w:pPr>
      <w:r>
        <w:rPr>
          <w:rFonts w:hint="eastAsia" w:ascii="微软雅黑" w:hAnsi="微软雅黑" w:eastAsia="微软雅黑" w:cs="微软雅黑"/>
          <w:sz w:val="24"/>
        </w:rPr>
        <w:t>强化员工工程流程和标准化的理念</w:t>
      </w:r>
    </w:p>
    <w:p>
      <w:pPr>
        <w:pStyle w:val="12"/>
        <w:numPr>
          <w:ilvl w:val="0"/>
          <w:numId w:val="1"/>
        </w:numPr>
        <w:spacing w:line="600" w:lineRule="auto"/>
        <w:ind w:firstLineChars="0"/>
        <w:rPr>
          <w:rFonts w:ascii="微软雅黑" w:hAnsi="微软雅黑" w:eastAsia="微软雅黑" w:cs="微软雅黑"/>
          <w:sz w:val="24"/>
        </w:rPr>
      </w:pPr>
      <w:r>
        <w:rPr>
          <w:rFonts w:hint="eastAsia" w:ascii="微软雅黑" w:hAnsi="微软雅黑" w:eastAsia="微软雅黑" w:cs="微软雅黑"/>
          <w:sz w:val="24"/>
        </w:rPr>
        <w:t>夯实员工管理基础</w:t>
      </w:r>
    </w:p>
    <w:p>
      <w:pPr>
        <w:pStyle w:val="12"/>
        <w:numPr>
          <w:ilvl w:val="0"/>
          <w:numId w:val="1"/>
        </w:numPr>
        <w:spacing w:line="600" w:lineRule="auto"/>
        <w:ind w:firstLineChars="0"/>
        <w:rPr>
          <w:rFonts w:hint="eastAsia" w:ascii="微软雅黑" w:hAnsi="微软雅黑" w:eastAsia="微软雅黑" w:cs="微软雅黑"/>
          <w:sz w:val="24"/>
        </w:rPr>
      </w:pPr>
      <w:r>
        <w:rPr>
          <w:rFonts w:hint="eastAsia" w:ascii="微软雅黑" w:hAnsi="微软雅黑" w:eastAsia="微软雅黑" w:cs="微软雅黑"/>
          <w:sz w:val="24"/>
        </w:rPr>
        <w:t>学习吸收标杆企业的优秀管理方法，取其精华，提高自身管理能力，提高企业质量管理体系</w:t>
      </w:r>
    </w:p>
    <w:p>
      <w:pPr>
        <w:pStyle w:val="12"/>
        <w:spacing w:line="480" w:lineRule="exact"/>
        <w:ind w:left="900" w:hanging="420" w:firstLineChars="0"/>
        <w:rPr>
          <w:rFonts w:hint="eastAsia" w:ascii="微软雅黑" w:hAnsi="微软雅黑" w:eastAsia="微软雅黑" w:cs="微软雅黑"/>
          <w:b/>
          <w:bCs/>
          <w:color w:val="FF0000"/>
          <w:sz w:val="28"/>
          <w:szCs w:val="28"/>
        </w:rPr>
      </w:pPr>
      <w:r>
        <w:rPr>
          <w:sz w:val="28"/>
          <w:szCs w:val="28"/>
        </w:rPr>
        <mc:AlternateContent>
          <mc:Choice Requires="wps">
            <w:drawing>
              <wp:anchor distT="0" distB="0" distL="114300" distR="114300" simplePos="0" relativeHeight="251660288" behindDoc="0" locked="0" layoutInCell="1" allowOverlap="1">
                <wp:simplePos x="0" y="0"/>
                <wp:positionH relativeFrom="column">
                  <wp:posOffset>128905</wp:posOffset>
                </wp:positionH>
                <wp:positionV relativeFrom="paragraph">
                  <wp:posOffset>85090</wp:posOffset>
                </wp:positionV>
                <wp:extent cx="1064895" cy="374015"/>
                <wp:effectExtent l="4445" t="4445" r="12700" b="17780"/>
                <wp:wrapSquare wrapText="bothSides"/>
                <wp:docPr id="2" name="文本框 8"/>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【课程对象】</w:t>
                            </w:r>
                          </w:p>
                        </w:txbxContent>
                      </wps:txbx>
                      <wps:bodyPr wrap="square" upright="1"/>
                    </wps:wsp>
                  </a:graphicData>
                </a:graphic>
              </wp:anchor>
            </w:drawing>
          </mc:Choice>
          <mc:Fallback>
            <w:pict>
              <v:shape id="文本框 8" o:spid="_x0000_s1026" o:spt="202" type="#_x0000_t202" style="position:absolute;left:0pt;margin-left:10.15pt;margin-top:6.7pt;height:29.45pt;width:83.85pt;mso-wrap-distance-bottom:0pt;mso-wrap-distance-left:9pt;mso-wrap-distance-right:9pt;mso-wrap-distance-top:0pt;z-index:251660288;mso-width-relative:page;mso-height-relative:page;" fillcolor="#000000" filled="t" stroked="t" coordsize="21600,21600" o:gfxdata="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vubf9cAAAAIAQAADwAA&#10;AAAAAAABACAAAAAiAAAAZHJzL2Rvd25yZXYueG1sUEsBAhQAFAAAAAgAh07iQNZBp4UXAgAARA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【课程对象】</w:t>
                      </w:r>
                    </w:p>
                  </w:txbxContent>
                </v:textbox>
                <w10:wrap type="square"/>
              </v:shape>
            </w:pict>
          </mc:Fallback>
        </mc:AlternateContent>
      </w:r>
    </w:p>
    <w:p>
      <w:pPr>
        <w:widowControl/>
        <w:shd w:val="clear" w:color="auto" w:fill="FFFFFF"/>
        <w:spacing w:line="480" w:lineRule="exact"/>
        <w:ind w:left="567" w:leftChars="270"/>
        <w:jc w:val="left"/>
        <w:rPr>
          <w:rFonts w:ascii="Verdana" w:hAnsi="Verdana" w:cs="Verdana"/>
          <w:color w:val="333333"/>
          <w:sz w:val="28"/>
          <w:szCs w:val="28"/>
        </w:rPr>
      </w:pPr>
    </w:p>
    <w:p>
      <w:pPr>
        <w:pStyle w:val="12"/>
        <w:spacing w:line="600" w:lineRule="auto"/>
        <w:ind w:left="426" w:firstLine="567" w:firstLineChars="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房地产企业董事长、总经理、总工、集团分管工程副总、项目总经理、工程总监、设计部经理、成本总监、成本部经理、工程部经理、造价工程师等。</w:t>
      </w:r>
    </w:p>
    <w:p>
      <w:pPr>
        <w:spacing w:line="440" w:lineRule="exact"/>
        <w:ind w:left="567" w:leftChars="270"/>
        <w:rPr>
          <w:rFonts w:hint="eastAsia" w:ascii="微软雅黑" w:hAnsi="微软雅黑" w:eastAsia="微软雅黑" w:cs="微软雅黑"/>
          <w:b/>
          <w:bCs/>
          <w:color w:val="FF0000"/>
          <w:sz w:val="28"/>
          <w:szCs w:val="28"/>
        </w:rPr>
      </w:pPr>
    </w:p>
    <w:p>
      <w:pPr>
        <w:widowControl/>
        <w:spacing w:line="440" w:lineRule="exact"/>
        <w:ind w:left="567" w:leftChars="270"/>
        <w:jc w:val="left"/>
        <w:rPr>
          <w:rFonts w:hint="eastAsia"/>
          <w:sz w:val="28"/>
          <w:szCs w:val="28"/>
        </w:rPr>
      </w:pPr>
      <w:r>
        <w:rPr>
          <w:sz w:val="28"/>
          <w:szCs w:val="28"/>
        </w:rPr>
        <mc:AlternateContent>
          <mc:Choice Requires="wps">
            <w:drawing>
              <wp:anchor distT="0" distB="0" distL="114300" distR="114300" simplePos="0" relativeHeight="251661312" behindDoc="0" locked="0" layoutInCell="1" allowOverlap="1">
                <wp:simplePos x="0" y="0"/>
                <wp:positionH relativeFrom="column">
                  <wp:posOffset>123825</wp:posOffset>
                </wp:positionH>
                <wp:positionV relativeFrom="paragraph">
                  <wp:posOffset>135255</wp:posOffset>
                </wp:positionV>
                <wp:extent cx="1064895" cy="374015"/>
                <wp:effectExtent l="4445" t="4445" r="12700" b="17780"/>
                <wp:wrapSquare wrapText="bothSides"/>
                <wp:docPr id="3" name="文本框 9"/>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【课程大纲】</w:t>
                            </w:r>
                          </w:p>
                        </w:txbxContent>
                      </wps:txbx>
                      <wps:bodyPr wrap="square" upright="1"/>
                    </wps:wsp>
                  </a:graphicData>
                </a:graphic>
              </wp:anchor>
            </w:drawing>
          </mc:Choice>
          <mc:Fallback>
            <w:pict>
              <v:shape id="文本框 9" o:spid="_x0000_s1026" o:spt="202" type="#_x0000_t202" style="position:absolute;left:0pt;margin-left:9.75pt;margin-top:10.65pt;height:29.45pt;width:83.85pt;mso-wrap-distance-bottom:0pt;mso-wrap-distance-left:9pt;mso-wrap-distance-right:9pt;mso-wrap-distance-top:0pt;z-index:251661312;mso-width-relative:page;mso-height-relative:page;" fillcolor="#000000" filled="t" stroked="t" coordsize="21600,21600" o:gfxdata="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uAP8tYAAAAIAQAADwAA&#10;AAAAAAABACAAAAAiAAAAZHJzL2Rvd25yZXYueG1sUEsBAhQAFAAAAAgAh07iQJyJMtMYAgAARAQA&#10;AA4AAAAAAAAAAQAgAAAAJQ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【课程大纲】</w:t>
                      </w:r>
                    </w:p>
                  </w:txbxContent>
                </v:textbox>
                <w10:wrap type="square"/>
              </v:shape>
            </w:pict>
          </mc:Fallback>
        </mc:AlternateContent>
      </w:r>
    </w:p>
    <w:p>
      <w:pPr>
        <w:spacing w:line="440" w:lineRule="exact"/>
        <w:ind w:left="567" w:leftChars="270"/>
        <w:rPr>
          <w:rFonts w:hint="eastAsia" w:ascii="微软雅黑" w:hAnsi="微软雅黑" w:eastAsia="微软雅黑" w:cs="微软雅黑"/>
          <w:b/>
          <w:color w:val="FF0000"/>
          <w:sz w:val="28"/>
          <w:szCs w:val="28"/>
        </w:rPr>
      </w:pP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第一部分：抹灰工艺</w:t>
      </w:r>
    </w:p>
    <w:p>
      <w:pPr>
        <w:pStyle w:val="12"/>
        <w:numPr>
          <w:ilvl w:val="0"/>
          <w:numId w:val="2"/>
        </w:numPr>
        <w:spacing w:line="600" w:lineRule="auto"/>
        <w:ind w:left="1134" w:hanging="371" w:firstLineChars="0"/>
        <w:rPr>
          <w:rFonts w:hint="eastAsia" w:ascii="微软雅黑" w:hAnsi="微软雅黑" w:eastAsia="微软雅黑" w:cs="微软雅黑"/>
          <w:b/>
          <w:sz w:val="24"/>
        </w:rPr>
      </w:pPr>
      <w:r>
        <w:rPr>
          <w:rFonts w:hint="eastAsia" w:ascii="微软雅黑" w:hAnsi="微软雅黑" w:eastAsia="微软雅黑" w:cs="微软雅黑"/>
          <w:b/>
          <w:sz w:val="24"/>
        </w:rPr>
        <w:t>抹灰的分类和组成: 抹灰分类与</w:t>
      </w:r>
      <w:r>
        <w:rPr>
          <w:rFonts w:ascii="微软雅黑" w:hAnsi="微软雅黑" w:eastAsia="微软雅黑" w:cs="微软雅黑"/>
          <w:b/>
          <w:sz w:val="24"/>
        </w:rPr>
        <w:t>组成；</w:t>
      </w:r>
      <w:r>
        <w:rPr>
          <w:rFonts w:hint="eastAsia" w:ascii="微软雅黑" w:hAnsi="微软雅黑" w:eastAsia="微软雅黑" w:cs="微软雅黑"/>
          <w:b/>
          <w:sz w:val="24"/>
        </w:rPr>
        <w:t>底层</w:t>
      </w:r>
      <w:r>
        <w:rPr>
          <w:rFonts w:ascii="微软雅黑" w:hAnsi="微软雅黑" w:eastAsia="微软雅黑" w:cs="微软雅黑"/>
          <w:b/>
          <w:sz w:val="24"/>
        </w:rPr>
        <w:t>、中层、面层的作用</w:t>
      </w:r>
      <w:r>
        <w:rPr>
          <w:rFonts w:hint="eastAsia" w:ascii="微软雅黑" w:hAnsi="微软雅黑" w:eastAsia="微软雅黑" w:cs="微软雅黑"/>
          <w:b/>
          <w:sz w:val="24"/>
        </w:rPr>
        <w:t>及</w:t>
      </w:r>
      <w:r>
        <w:rPr>
          <w:rFonts w:ascii="微软雅黑" w:hAnsi="微软雅黑" w:eastAsia="微软雅黑" w:cs="微软雅黑"/>
          <w:b/>
          <w:sz w:val="24"/>
        </w:rPr>
        <w:t>材料与做法。</w:t>
      </w:r>
    </w:p>
    <w:p>
      <w:pPr>
        <w:pStyle w:val="12"/>
        <w:numPr>
          <w:ilvl w:val="0"/>
          <w:numId w:val="2"/>
        </w:numPr>
        <w:spacing w:line="600" w:lineRule="auto"/>
        <w:ind w:left="1134" w:hanging="371" w:firstLineChars="0"/>
        <w:rPr>
          <w:rFonts w:hint="eastAsia" w:ascii="微软雅黑" w:hAnsi="微软雅黑" w:eastAsia="微软雅黑" w:cs="微软雅黑"/>
          <w:b/>
          <w:sz w:val="24"/>
        </w:rPr>
      </w:pPr>
      <w:r>
        <w:rPr>
          <w:rFonts w:hint="eastAsia" w:ascii="微软雅黑" w:hAnsi="微软雅黑" w:eastAsia="微软雅黑" w:cs="微软雅黑"/>
          <w:b/>
          <w:sz w:val="24"/>
        </w:rPr>
        <w:t>抹灰基体的表面处理：基体表面应具有一定的粗糙度；加气混凝土、板条墙或板条顶棚等</w:t>
      </w:r>
      <w:r>
        <w:rPr>
          <w:rFonts w:ascii="微软雅黑" w:hAnsi="微软雅黑" w:eastAsia="微软雅黑" w:cs="微软雅黑"/>
          <w:b/>
          <w:sz w:val="24"/>
        </w:rPr>
        <w:t>表面处理。</w:t>
      </w:r>
    </w:p>
    <w:p>
      <w:pPr>
        <w:pStyle w:val="12"/>
        <w:numPr>
          <w:ilvl w:val="0"/>
          <w:numId w:val="2"/>
        </w:numPr>
        <w:spacing w:line="600" w:lineRule="auto"/>
        <w:ind w:left="1134" w:hanging="371" w:firstLineChars="0"/>
        <w:rPr>
          <w:rFonts w:hint="eastAsia" w:ascii="微软雅黑" w:hAnsi="微软雅黑" w:eastAsia="微软雅黑" w:cs="微软雅黑"/>
          <w:b/>
          <w:sz w:val="24"/>
        </w:rPr>
      </w:pPr>
      <w:r>
        <w:rPr>
          <w:rFonts w:hint="eastAsia" w:ascii="微软雅黑" w:hAnsi="微软雅黑" w:eastAsia="微软雅黑" w:cs="微软雅黑"/>
          <w:b/>
          <w:sz w:val="24"/>
        </w:rPr>
        <w:t>一般抹灰施工工艺：抹灰厚度；常用的工具；设置标筋；</w:t>
      </w:r>
      <w:r>
        <w:rPr>
          <w:rFonts w:ascii="微软雅黑" w:hAnsi="微软雅黑" w:eastAsia="微软雅黑" w:cs="微软雅黑"/>
          <w:b/>
          <w:sz w:val="24"/>
        </w:rPr>
        <w:t>做护角</w:t>
      </w:r>
      <w:r>
        <w:rPr>
          <w:rFonts w:hint="eastAsia" w:ascii="微软雅黑" w:hAnsi="微软雅黑" w:eastAsia="微软雅黑" w:cs="微软雅黑"/>
          <w:b/>
          <w:sz w:val="24"/>
        </w:rPr>
        <w:t>及</w:t>
      </w:r>
      <w:r>
        <w:rPr>
          <w:rFonts w:ascii="微软雅黑" w:hAnsi="微软雅黑" w:eastAsia="微软雅黑" w:cs="微软雅黑"/>
          <w:b/>
          <w:sz w:val="24"/>
        </w:rPr>
        <w:t>灰层的涂抹；</w:t>
      </w:r>
      <w:r>
        <w:rPr>
          <w:rFonts w:hint="eastAsia" w:ascii="微软雅黑" w:hAnsi="微软雅黑" w:eastAsia="微软雅黑" w:cs="微软雅黑"/>
          <w:b/>
          <w:sz w:val="24"/>
        </w:rPr>
        <w:t>砂浆要求；室</w:t>
      </w:r>
      <w:r>
        <w:rPr>
          <w:rFonts w:ascii="微软雅黑" w:hAnsi="微软雅黑" w:eastAsia="微软雅黑" w:cs="微软雅黑"/>
          <w:b/>
          <w:sz w:val="24"/>
        </w:rPr>
        <w:t>内外罩面压光。</w:t>
      </w:r>
    </w:p>
    <w:p>
      <w:pPr>
        <w:pStyle w:val="12"/>
        <w:numPr>
          <w:ilvl w:val="0"/>
          <w:numId w:val="2"/>
        </w:numPr>
        <w:spacing w:line="600" w:lineRule="auto"/>
        <w:ind w:left="1134" w:hanging="371" w:firstLineChars="0"/>
        <w:rPr>
          <w:rFonts w:hint="eastAsia" w:ascii="微软雅黑" w:hAnsi="微软雅黑" w:eastAsia="微软雅黑" w:cs="微软雅黑"/>
          <w:b/>
          <w:sz w:val="24"/>
        </w:rPr>
      </w:pPr>
      <w:r>
        <w:rPr>
          <w:rFonts w:hint="eastAsia" w:ascii="微软雅黑" w:hAnsi="微软雅黑" w:eastAsia="微软雅黑" w:cs="微软雅黑"/>
          <w:b/>
          <w:sz w:val="24"/>
        </w:rPr>
        <w:t xml:space="preserve">装饰抹灰施工工艺：区别及种类；施工工艺。 </w:t>
      </w:r>
    </w:p>
    <w:p>
      <w:pPr>
        <w:spacing w:line="480" w:lineRule="exact"/>
        <w:rPr>
          <w:rFonts w:ascii="微软雅黑" w:hAnsi="微软雅黑" w:eastAsia="微软雅黑" w:cs="微软雅黑"/>
          <w:b/>
          <w:sz w:val="24"/>
        </w:rPr>
      </w:pPr>
      <w:r>
        <w:rPr>
          <w:rFonts w:hint="eastAsia" w:ascii="微软雅黑" w:hAnsi="微软雅黑" w:eastAsia="微软雅黑" w:cs="微软雅黑"/>
          <w:b/>
          <w:color w:val="FF0000"/>
          <w:sz w:val="24"/>
        </w:rPr>
        <w:t>第二部分</w:t>
      </w:r>
      <w:r>
        <w:rPr>
          <w:rFonts w:ascii="微软雅黑" w:hAnsi="微软雅黑" w:eastAsia="微软雅黑" w:cs="微软雅黑"/>
          <w:b/>
          <w:color w:val="FF0000"/>
          <w:sz w:val="24"/>
        </w:rPr>
        <w:t>：</w:t>
      </w:r>
      <w:r>
        <w:rPr>
          <w:rFonts w:hint="eastAsia" w:ascii="微软雅黑" w:hAnsi="微软雅黑" w:eastAsia="微软雅黑" w:cs="微软雅黑"/>
          <w:b/>
          <w:color w:val="FF0000"/>
          <w:sz w:val="24"/>
        </w:rPr>
        <w:t>外墙外保温工艺</w:t>
      </w:r>
    </w:p>
    <w:p>
      <w:pPr>
        <w:pStyle w:val="12"/>
        <w:numPr>
          <w:ilvl w:val="0"/>
          <w:numId w:val="3"/>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概述: 外墙外保温系统定义；体系主要包括——聚氨酯体系、贴砌聚苯板（聚苯板）体系、现浇无网聚苯板体系、现浇有网聚苯板体系、粘贴聚苯板）体系等。</w:t>
      </w:r>
    </w:p>
    <w:p>
      <w:pPr>
        <w:pStyle w:val="12"/>
        <w:numPr>
          <w:ilvl w:val="0"/>
          <w:numId w:val="3"/>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主要材料性能及要求：各类</w:t>
      </w:r>
      <w:r>
        <w:rPr>
          <w:rFonts w:ascii="微软雅黑" w:hAnsi="微软雅黑" w:eastAsia="微软雅黑" w:cs="微软雅黑"/>
          <w:b/>
          <w:sz w:val="24"/>
        </w:rPr>
        <w:t>材料应符合规定技术要求。</w:t>
      </w:r>
    </w:p>
    <w:p>
      <w:pPr>
        <w:pStyle w:val="12"/>
        <w:numPr>
          <w:ilvl w:val="0"/>
          <w:numId w:val="3"/>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粘贴聚苯板体系施工工艺：定义</w:t>
      </w:r>
      <w:r>
        <w:rPr>
          <w:rFonts w:ascii="微软雅黑" w:hAnsi="微软雅黑" w:eastAsia="微软雅黑" w:cs="微软雅黑"/>
          <w:b/>
          <w:sz w:val="24"/>
        </w:rPr>
        <w:t>及施工流程；</w:t>
      </w:r>
      <w:r>
        <w:rPr>
          <w:rFonts w:hint="eastAsia" w:ascii="微软雅黑" w:hAnsi="微软雅黑" w:eastAsia="微软雅黑" w:cs="微软雅黑"/>
          <w:b/>
          <w:sz w:val="24"/>
        </w:rPr>
        <w:t>施工</w:t>
      </w:r>
      <w:r>
        <w:rPr>
          <w:rFonts w:ascii="微软雅黑" w:hAnsi="微软雅黑" w:eastAsia="微软雅黑" w:cs="微软雅黑"/>
          <w:b/>
          <w:sz w:val="24"/>
        </w:rPr>
        <w:t>工艺操作要点；</w:t>
      </w:r>
      <w:r>
        <w:rPr>
          <w:rFonts w:hint="eastAsia" w:ascii="微软雅黑" w:hAnsi="微软雅黑" w:eastAsia="微软雅黑" w:cs="微软雅黑"/>
          <w:b/>
          <w:sz w:val="24"/>
        </w:rPr>
        <w:t>主控</w:t>
      </w:r>
      <w:r>
        <w:rPr>
          <w:rFonts w:ascii="微软雅黑" w:hAnsi="微软雅黑" w:eastAsia="微软雅黑" w:cs="微软雅黑"/>
          <w:b/>
          <w:sz w:val="24"/>
        </w:rPr>
        <w:t>项目</w:t>
      </w:r>
      <w:r>
        <w:rPr>
          <w:rFonts w:hint="eastAsia" w:ascii="微软雅黑" w:hAnsi="微软雅黑" w:eastAsia="微软雅黑" w:cs="微软雅黑"/>
          <w:b/>
          <w:sz w:val="24"/>
        </w:rPr>
        <w:t>和</w:t>
      </w:r>
      <w:r>
        <w:rPr>
          <w:rFonts w:ascii="微软雅黑" w:hAnsi="微软雅黑" w:eastAsia="微软雅黑" w:cs="微软雅黑"/>
          <w:b/>
          <w:sz w:val="24"/>
        </w:rPr>
        <w:t>一般</w:t>
      </w:r>
      <w:r>
        <w:rPr>
          <w:rFonts w:hint="eastAsia" w:ascii="微软雅黑" w:hAnsi="微软雅黑" w:eastAsia="微软雅黑" w:cs="微软雅黑"/>
          <w:b/>
          <w:sz w:val="24"/>
        </w:rPr>
        <w:t>项目</w:t>
      </w:r>
      <w:r>
        <w:rPr>
          <w:rFonts w:ascii="微软雅黑" w:hAnsi="微软雅黑" w:eastAsia="微软雅黑" w:cs="微软雅黑"/>
          <w:b/>
          <w:sz w:val="24"/>
        </w:rPr>
        <w:t>质量要求；案例分析。</w:t>
      </w:r>
    </w:p>
    <w:p>
      <w:pPr>
        <w:pStyle w:val="12"/>
        <w:numPr>
          <w:ilvl w:val="0"/>
          <w:numId w:val="3"/>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现浇无网聚苯板体系施工工艺：定义及施工流程；施工工艺操作要点；主控项目和</w:t>
      </w:r>
      <w:r>
        <w:rPr>
          <w:rFonts w:ascii="微软雅黑" w:hAnsi="微软雅黑" w:eastAsia="微软雅黑" w:cs="微软雅黑"/>
          <w:b/>
          <w:sz w:val="24"/>
        </w:rPr>
        <w:t>一般项目</w:t>
      </w:r>
      <w:r>
        <w:rPr>
          <w:rFonts w:hint="eastAsia" w:ascii="微软雅黑" w:hAnsi="微软雅黑" w:eastAsia="微软雅黑" w:cs="微软雅黑"/>
          <w:b/>
          <w:sz w:val="24"/>
        </w:rPr>
        <w:t>质量要求。</w:t>
      </w:r>
    </w:p>
    <w:p>
      <w:pPr>
        <w:pStyle w:val="12"/>
        <w:spacing w:line="360" w:lineRule="auto"/>
        <w:ind w:firstLine="0" w:firstLineChars="0"/>
        <w:jc w:val="lef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w:t>
      </w:r>
      <w:r>
        <w:rPr>
          <w:rFonts w:ascii="微软雅黑" w:hAnsi="微软雅黑" w:eastAsia="微软雅黑" w:cs="微软雅黑"/>
          <w:b/>
          <w:color w:val="FF0000"/>
          <w:sz w:val="24"/>
        </w:rPr>
        <w:t>：</w:t>
      </w:r>
      <w:r>
        <w:rPr>
          <w:rFonts w:hint="eastAsia" w:ascii="微软雅黑" w:hAnsi="微软雅黑" w:eastAsia="微软雅黑" w:cs="微软雅黑"/>
          <w:b/>
          <w:color w:val="FF0000"/>
          <w:sz w:val="24"/>
        </w:rPr>
        <w:t>公区</w:t>
      </w:r>
      <w:r>
        <w:rPr>
          <w:rFonts w:ascii="微软雅黑" w:hAnsi="微软雅黑" w:eastAsia="微软雅黑" w:cs="微软雅黑"/>
          <w:b/>
          <w:color w:val="FF0000"/>
          <w:sz w:val="24"/>
        </w:rPr>
        <w:t>装饰</w:t>
      </w:r>
      <w:r>
        <w:rPr>
          <w:rFonts w:hint="eastAsia" w:ascii="微软雅黑" w:hAnsi="微软雅黑" w:eastAsia="微软雅黑" w:cs="微软雅黑"/>
          <w:b/>
          <w:color w:val="FF0000"/>
          <w:sz w:val="24"/>
        </w:rPr>
        <w:t>施工工艺</w:t>
      </w:r>
    </w:p>
    <w:p>
      <w:pPr>
        <w:pStyle w:val="12"/>
        <w:numPr>
          <w:ilvl w:val="0"/>
          <w:numId w:val="4"/>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吊顶：卡扣式暗龙骨铝板吊顶及普通轻钢龙骨双层石膏板吊顶的材料</w:t>
      </w:r>
      <w:r>
        <w:rPr>
          <w:rFonts w:ascii="微软雅黑" w:hAnsi="微软雅黑" w:eastAsia="微软雅黑" w:cs="微软雅黑"/>
          <w:b/>
          <w:sz w:val="24"/>
        </w:rPr>
        <w:t>准备、</w:t>
      </w:r>
      <w:r>
        <w:rPr>
          <w:rFonts w:hint="eastAsia" w:ascii="微软雅黑" w:hAnsi="微软雅黑" w:eastAsia="微软雅黑" w:cs="微软雅黑"/>
          <w:b/>
          <w:sz w:val="24"/>
        </w:rPr>
        <w:t>进场</w:t>
      </w:r>
      <w:r>
        <w:rPr>
          <w:rFonts w:ascii="微软雅黑" w:hAnsi="微软雅黑" w:eastAsia="微软雅黑" w:cs="微软雅黑"/>
          <w:b/>
          <w:sz w:val="24"/>
        </w:rPr>
        <w:t>复试</w:t>
      </w:r>
      <w:r>
        <w:rPr>
          <w:rFonts w:hint="eastAsia" w:ascii="微软雅黑" w:hAnsi="微软雅黑" w:eastAsia="微软雅黑" w:cs="微软雅黑"/>
          <w:b/>
          <w:sz w:val="24"/>
        </w:rPr>
        <w:t>、验收</w:t>
      </w:r>
      <w:r>
        <w:rPr>
          <w:rFonts w:ascii="微软雅黑" w:hAnsi="微软雅黑" w:eastAsia="微软雅黑" w:cs="微软雅黑"/>
          <w:b/>
          <w:sz w:val="24"/>
        </w:rPr>
        <w:t>等</w:t>
      </w:r>
      <w:r>
        <w:rPr>
          <w:rFonts w:hint="eastAsia" w:ascii="微软雅黑" w:hAnsi="微软雅黑" w:eastAsia="微软雅黑" w:cs="微软雅黑"/>
          <w:b/>
          <w:sz w:val="24"/>
        </w:rPr>
        <w:t>施工工艺。</w:t>
      </w:r>
    </w:p>
    <w:p>
      <w:pPr>
        <w:pStyle w:val="12"/>
        <w:numPr>
          <w:ilvl w:val="0"/>
          <w:numId w:val="4"/>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轻质隔墙：轻钢龙骨石膏板隔墙的材料</w:t>
      </w:r>
      <w:r>
        <w:rPr>
          <w:rFonts w:ascii="微软雅黑" w:hAnsi="微软雅黑" w:eastAsia="微软雅黑" w:cs="微软雅黑"/>
          <w:b/>
          <w:sz w:val="24"/>
        </w:rPr>
        <w:t>准备、进场复试、放线定位</w:t>
      </w:r>
      <w:r>
        <w:rPr>
          <w:rFonts w:hint="eastAsia" w:ascii="微软雅黑" w:hAnsi="微软雅黑" w:eastAsia="微软雅黑" w:cs="微软雅黑"/>
          <w:b/>
          <w:sz w:val="24"/>
        </w:rPr>
        <w:t>、</w:t>
      </w:r>
      <w:r>
        <w:rPr>
          <w:rFonts w:ascii="微软雅黑" w:hAnsi="微软雅黑" w:eastAsia="微软雅黑" w:cs="微软雅黑"/>
          <w:b/>
          <w:sz w:val="24"/>
        </w:rPr>
        <w:t>验收等</w:t>
      </w:r>
      <w:r>
        <w:rPr>
          <w:rFonts w:hint="eastAsia" w:ascii="微软雅黑" w:hAnsi="微软雅黑" w:eastAsia="微软雅黑" w:cs="微软雅黑"/>
          <w:b/>
          <w:sz w:val="24"/>
        </w:rPr>
        <w:t>施工工艺。</w:t>
      </w:r>
    </w:p>
    <w:p>
      <w:pPr>
        <w:pStyle w:val="12"/>
        <w:numPr>
          <w:ilvl w:val="0"/>
          <w:numId w:val="4"/>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饰面板：木饰面挂板材料</w:t>
      </w:r>
      <w:r>
        <w:rPr>
          <w:rFonts w:ascii="微软雅黑" w:hAnsi="微软雅黑" w:eastAsia="微软雅黑" w:cs="微软雅黑"/>
          <w:b/>
          <w:sz w:val="24"/>
        </w:rPr>
        <w:t>准备、</w:t>
      </w:r>
      <w:r>
        <w:rPr>
          <w:rFonts w:hint="eastAsia" w:ascii="微软雅黑" w:hAnsi="微软雅黑" w:eastAsia="微软雅黑" w:cs="微软雅黑"/>
          <w:b/>
          <w:sz w:val="24"/>
        </w:rPr>
        <w:t>进场</w:t>
      </w:r>
      <w:r>
        <w:rPr>
          <w:rFonts w:ascii="微软雅黑" w:hAnsi="微软雅黑" w:eastAsia="微软雅黑" w:cs="微软雅黑"/>
          <w:b/>
          <w:sz w:val="24"/>
        </w:rPr>
        <w:t>复试、</w:t>
      </w:r>
      <w:r>
        <w:rPr>
          <w:rFonts w:hint="eastAsia" w:ascii="微软雅黑" w:hAnsi="微软雅黑" w:eastAsia="微软雅黑" w:cs="微软雅黑"/>
          <w:b/>
          <w:sz w:val="24"/>
        </w:rPr>
        <w:t>基层</w:t>
      </w:r>
      <w:r>
        <w:rPr>
          <w:rFonts w:ascii="微软雅黑" w:hAnsi="微软雅黑" w:eastAsia="微软雅黑" w:cs="微软雅黑"/>
          <w:b/>
          <w:sz w:val="24"/>
        </w:rPr>
        <w:t>处理、</w:t>
      </w:r>
      <w:r>
        <w:rPr>
          <w:rFonts w:hint="eastAsia" w:ascii="微软雅黑" w:hAnsi="微软雅黑" w:eastAsia="微软雅黑" w:cs="微软雅黑"/>
          <w:b/>
          <w:sz w:val="24"/>
        </w:rPr>
        <w:t>测量</w:t>
      </w:r>
      <w:r>
        <w:rPr>
          <w:rFonts w:ascii="微软雅黑" w:hAnsi="微软雅黑" w:eastAsia="微软雅黑" w:cs="微软雅黑"/>
          <w:b/>
          <w:sz w:val="24"/>
        </w:rPr>
        <w:t>放线、验收等</w:t>
      </w:r>
      <w:r>
        <w:rPr>
          <w:rFonts w:hint="eastAsia" w:ascii="微软雅黑" w:hAnsi="微软雅黑" w:eastAsia="微软雅黑" w:cs="微软雅黑"/>
          <w:b/>
          <w:sz w:val="24"/>
        </w:rPr>
        <w:t>施工工艺。</w:t>
      </w:r>
    </w:p>
    <w:p>
      <w:pPr>
        <w:pStyle w:val="12"/>
        <w:numPr>
          <w:ilvl w:val="0"/>
          <w:numId w:val="4"/>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墙砖：饰面砖粘贴及室内干挂墙砖的材料准备、进场复试、基层处理、抹</w:t>
      </w:r>
      <w:r>
        <w:rPr>
          <w:rFonts w:ascii="微软雅黑" w:hAnsi="微软雅黑" w:eastAsia="微软雅黑" w:cs="微软雅黑"/>
          <w:b/>
          <w:sz w:val="24"/>
        </w:rPr>
        <w:t>早平层</w:t>
      </w:r>
      <w:r>
        <w:rPr>
          <w:rFonts w:hint="eastAsia" w:ascii="微软雅黑" w:hAnsi="微软雅黑" w:eastAsia="微软雅黑" w:cs="微软雅黑"/>
          <w:b/>
          <w:sz w:val="24"/>
        </w:rPr>
        <w:t>、</w:t>
      </w:r>
      <w:r>
        <w:rPr>
          <w:rFonts w:ascii="微软雅黑" w:hAnsi="微软雅黑" w:eastAsia="微软雅黑" w:cs="微软雅黑"/>
          <w:b/>
          <w:sz w:val="24"/>
        </w:rPr>
        <w:t>镶面砖、</w:t>
      </w:r>
      <w:r>
        <w:rPr>
          <w:rFonts w:hint="eastAsia" w:ascii="微软雅黑" w:hAnsi="微软雅黑" w:eastAsia="微软雅黑" w:cs="微软雅黑"/>
          <w:b/>
          <w:sz w:val="24"/>
        </w:rPr>
        <w:t>验收</w:t>
      </w:r>
      <w:r>
        <w:rPr>
          <w:rFonts w:ascii="微软雅黑" w:hAnsi="微软雅黑" w:eastAsia="微软雅黑" w:cs="微软雅黑"/>
          <w:b/>
          <w:sz w:val="24"/>
        </w:rPr>
        <w:t>等</w:t>
      </w:r>
      <w:r>
        <w:rPr>
          <w:rFonts w:hint="eastAsia" w:ascii="微软雅黑" w:hAnsi="微软雅黑" w:eastAsia="微软雅黑" w:cs="微软雅黑"/>
          <w:b/>
          <w:sz w:val="24"/>
        </w:rPr>
        <w:t>施工工艺。</w:t>
      </w:r>
    </w:p>
    <w:p>
      <w:pPr>
        <w:pStyle w:val="12"/>
        <w:numPr>
          <w:ilvl w:val="0"/>
          <w:numId w:val="4"/>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裱糊与软包：壁纸裱糊的材料准备、进场复试、基层处理与</w:t>
      </w:r>
      <w:r>
        <w:rPr>
          <w:rFonts w:ascii="微软雅黑" w:hAnsi="微软雅黑" w:eastAsia="微软雅黑" w:cs="微软雅黑"/>
          <w:b/>
          <w:sz w:val="24"/>
        </w:rPr>
        <w:t>准备、</w:t>
      </w:r>
      <w:r>
        <w:rPr>
          <w:rFonts w:hint="eastAsia" w:ascii="微软雅黑" w:hAnsi="微软雅黑" w:eastAsia="微软雅黑" w:cs="微软雅黑"/>
          <w:b/>
          <w:sz w:val="24"/>
        </w:rPr>
        <w:t>裱糊面弹基准线及裁纸、裱糊壁纸、软包内衬及预制镶嵌块、清理与修整、、</w:t>
      </w:r>
      <w:r>
        <w:rPr>
          <w:rFonts w:ascii="微软雅黑" w:hAnsi="微软雅黑" w:eastAsia="微软雅黑" w:cs="微软雅黑"/>
          <w:b/>
          <w:sz w:val="24"/>
        </w:rPr>
        <w:t>验收</w:t>
      </w:r>
      <w:r>
        <w:rPr>
          <w:rFonts w:hint="eastAsia" w:ascii="微软雅黑" w:hAnsi="微软雅黑" w:eastAsia="微软雅黑" w:cs="微软雅黑"/>
          <w:b/>
          <w:sz w:val="24"/>
        </w:rPr>
        <w:t>等施工工艺 。</w:t>
      </w:r>
    </w:p>
    <w:p>
      <w:pPr>
        <w:pStyle w:val="12"/>
        <w:numPr>
          <w:ilvl w:val="0"/>
          <w:numId w:val="4"/>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门窗：断桥铝门窗的材料准备、进场复试、弹线定位、防腐</w:t>
      </w:r>
      <w:r>
        <w:rPr>
          <w:rFonts w:ascii="微软雅黑" w:hAnsi="微软雅黑" w:eastAsia="微软雅黑" w:cs="微软雅黑"/>
          <w:b/>
          <w:sz w:val="24"/>
        </w:rPr>
        <w:t>处理、</w:t>
      </w:r>
      <w:r>
        <w:rPr>
          <w:rFonts w:hint="eastAsia" w:ascii="微软雅黑" w:hAnsi="微软雅黑" w:eastAsia="微软雅黑" w:cs="微软雅黑"/>
          <w:b/>
          <w:sz w:val="24"/>
        </w:rPr>
        <w:t>就位固定</w:t>
      </w:r>
      <w:r>
        <w:rPr>
          <w:rFonts w:ascii="微软雅黑" w:hAnsi="微软雅黑" w:eastAsia="微软雅黑" w:cs="微软雅黑"/>
          <w:b/>
          <w:sz w:val="24"/>
        </w:rPr>
        <w:t>、</w:t>
      </w:r>
      <w:r>
        <w:rPr>
          <w:rFonts w:hint="eastAsia" w:ascii="微软雅黑" w:hAnsi="微软雅黑" w:eastAsia="微软雅黑" w:cs="微软雅黑"/>
          <w:b/>
          <w:sz w:val="24"/>
        </w:rPr>
        <w:t>清洁修色及配件安装、</w:t>
      </w:r>
      <w:r>
        <w:rPr>
          <w:rFonts w:ascii="微软雅黑" w:hAnsi="微软雅黑" w:eastAsia="微软雅黑" w:cs="微软雅黑"/>
          <w:b/>
          <w:sz w:val="24"/>
        </w:rPr>
        <w:t>验收等</w:t>
      </w:r>
      <w:r>
        <w:rPr>
          <w:rFonts w:hint="eastAsia" w:ascii="微软雅黑" w:hAnsi="微软雅黑" w:eastAsia="微软雅黑" w:cs="微软雅黑"/>
          <w:b/>
          <w:sz w:val="24"/>
        </w:rPr>
        <w:t>安装工艺。</w:t>
      </w:r>
    </w:p>
    <w:p>
      <w:pPr>
        <w:pStyle w:val="12"/>
        <w:spacing w:line="360" w:lineRule="auto"/>
        <w:ind w:firstLine="0" w:firstLineChars="0"/>
        <w:jc w:val="left"/>
        <w:rPr>
          <w:rFonts w:hint="eastAsia" w:ascii="微软雅黑" w:hAnsi="微软雅黑" w:eastAsia="微软雅黑" w:cs="微软雅黑"/>
          <w:b/>
          <w:sz w:val="24"/>
        </w:rPr>
      </w:pPr>
      <w:r>
        <w:rPr>
          <w:rFonts w:hint="eastAsia" w:ascii="微软雅黑" w:hAnsi="微软雅黑" w:eastAsia="微软雅黑" w:cs="微软雅黑"/>
          <w:b/>
          <w:color w:val="FF0000"/>
          <w:sz w:val="24"/>
        </w:rPr>
        <w:t>第四部分：楼地面施工工艺</w:t>
      </w:r>
    </w:p>
    <w:p>
      <w:pPr>
        <w:pStyle w:val="12"/>
        <w:numPr>
          <w:ilvl w:val="0"/>
          <w:numId w:val="5"/>
        </w:numPr>
        <w:spacing w:line="600" w:lineRule="auto"/>
        <w:ind w:left="851" w:firstLine="0" w:firstLineChars="0"/>
        <w:rPr>
          <w:rFonts w:hint="eastAsia" w:ascii="微软雅黑" w:hAnsi="微软雅黑" w:eastAsia="微软雅黑" w:cs="微软雅黑"/>
          <w:b/>
          <w:sz w:val="24"/>
        </w:rPr>
      </w:pPr>
      <w:r>
        <w:rPr>
          <w:rFonts w:hint="eastAsia" w:ascii="微软雅黑" w:hAnsi="微软雅黑" w:eastAsia="微软雅黑" w:cs="微软雅黑"/>
          <w:b/>
          <w:sz w:val="24"/>
        </w:rPr>
        <w:t>几种常见地坪做法对比：细石混凝土、硬化地面、水泥基自流平、环氧地坪、聚氨酯地坪的性能比较、平整度、表现</w:t>
      </w:r>
      <w:r>
        <w:rPr>
          <w:rFonts w:ascii="微软雅黑" w:hAnsi="微软雅黑" w:eastAsia="微软雅黑" w:cs="微软雅黑"/>
          <w:b/>
          <w:sz w:val="24"/>
        </w:rPr>
        <w:t>效果等。</w:t>
      </w:r>
    </w:p>
    <w:p>
      <w:pPr>
        <w:pStyle w:val="12"/>
        <w:numPr>
          <w:ilvl w:val="0"/>
          <w:numId w:val="5"/>
        </w:numPr>
        <w:spacing w:line="600" w:lineRule="auto"/>
        <w:ind w:left="851" w:firstLine="0" w:firstLineChars="0"/>
        <w:rPr>
          <w:rFonts w:hint="eastAsia" w:ascii="微软雅黑" w:hAnsi="微软雅黑" w:eastAsia="微软雅黑" w:cs="微软雅黑"/>
          <w:b/>
          <w:sz w:val="24"/>
        </w:rPr>
      </w:pPr>
      <w:r>
        <w:rPr>
          <w:rFonts w:hint="eastAsia" w:ascii="微软雅黑" w:hAnsi="微软雅黑" w:eastAsia="微软雅黑" w:cs="微软雅黑"/>
          <w:b/>
          <w:sz w:val="24"/>
        </w:rPr>
        <w:t>细石混凝土地坪施工工艺流程：材料控制；施工工艺</w:t>
      </w:r>
      <w:r>
        <w:rPr>
          <w:rFonts w:ascii="微软雅黑" w:hAnsi="微软雅黑" w:eastAsia="微软雅黑" w:cs="微软雅黑"/>
          <w:b/>
          <w:sz w:val="24"/>
        </w:rPr>
        <w:t>要点</w:t>
      </w:r>
      <w:r>
        <w:rPr>
          <w:rFonts w:hint="eastAsia" w:ascii="微软雅黑" w:hAnsi="微软雅黑" w:eastAsia="微软雅黑" w:cs="微软雅黑"/>
          <w:b/>
          <w:sz w:val="24"/>
        </w:rPr>
        <w:t>控制；成品</w:t>
      </w:r>
      <w:r>
        <w:rPr>
          <w:rFonts w:ascii="微软雅黑" w:hAnsi="微软雅黑" w:eastAsia="微软雅黑" w:cs="微软雅黑"/>
          <w:b/>
          <w:sz w:val="24"/>
        </w:rPr>
        <w:t>保护</w:t>
      </w:r>
      <w:r>
        <w:rPr>
          <w:rFonts w:hint="eastAsia" w:ascii="微软雅黑" w:hAnsi="微软雅黑" w:eastAsia="微软雅黑" w:cs="微软雅黑"/>
          <w:b/>
          <w:sz w:val="24"/>
        </w:rPr>
        <w:t>控制</w:t>
      </w:r>
      <w:r>
        <w:rPr>
          <w:rFonts w:ascii="微软雅黑" w:hAnsi="微软雅黑" w:eastAsia="微软雅黑" w:cs="微软雅黑"/>
          <w:b/>
          <w:sz w:val="24"/>
        </w:rPr>
        <w:t>；</w:t>
      </w:r>
      <w:r>
        <w:rPr>
          <w:rFonts w:hint="eastAsia" w:ascii="微软雅黑" w:hAnsi="微软雅黑" w:eastAsia="微软雅黑" w:cs="微软雅黑"/>
          <w:b/>
          <w:sz w:val="24"/>
        </w:rPr>
        <w:t>加强技术交底、及时纠偏；案例</w:t>
      </w:r>
      <w:r>
        <w:rPr>
          <w:rFonts w:ascii="微软雅黑" w:hAnsi="微软雅黑" w:eastAsia="微软雅黑" w:cs="微软雅黑"/>
          <w:b/>
          <w:sz w:val="24"/>
        </w:rPr>
        <w:t>分析。</w:t>
      </w:r>
    </w:p>
    <w:p>
      <w:pPr>
        <w:pStyle w:val="12"/>
        <w:numPr>
          <w:ilvl w:val="0"/>
          <w:numId w:val="5"/>
        </w:numPr>
        <w:spacing w:line="600" w:lineRule="auto"/>
        <w:ind w:left="851" w:firstLine="0" w:firstLineChars="0"/>
        <w:rPr>
          <w:rFonts w:hint="eastAsia" w:ascii="微软雅黑" w:hAnsi="微软雅黑" w:eastAsia="微软雅黑" w:cs="微软雅黑"/>
          <w:b/>
          <w:sz w:val="24"/>
        </w:rPr>
      </w:pPr>
      <w:r>
        <w:rPr>
          <w:rFonts w:hint="eastAsia" w:ascii="微软雅黑" w:hAnsi="微软雅黑" w:eastAsia="微软雅黑" w:cs="微软雅黑"/>
          <w:b/>
          <w:sz w:val="24"/>
        </w:rPr>
        <w:t>水泥基自流平地坪：主要机具；施工工序；基层处理；分隔边界、结构初找平层、精初和</w:t>
      </w:r>
      <w:r>
        <w:rPr>
          <w:rFonts w:ascii="微软雅黑" w:hAnsi="微软雅黑" w:eastAsia="微软雅黑" w:cs="微软雅黑"/>
          <w:b/>
          <w:sz w:val="24"/>
        </w:rPr>
        <w:t>精</w:t>
      </w:r>
      <w:r>
        <w:rPr>
          <w:rFonts w:hint="eastAsia" w:ascii="微软雅黑" w:hAnsi="微软雅黑" w:eastAsia="微软雅黑" w:cs="微软雅黑"/>
          <w:b/>
          <w:sz w:val="24"/>
        </w:rPr>
        <w:t>找平垫层、封闭剂、切缝、嵌缝；案例</w:t>
      </w:r>
      <w:r>
        <w:rPr>
          <w:rFonts w:ascii="微软雅黑" w:hAnsi="微软雅黑" w:eastAsia="微软雅黑" w:cs="微软雅黑"/>
          <w:b/>
          <w:sz w:val="24"/>
        </w:rPr>
        <w:t>效果</w:t>
      </w:r>
      <w:r>
        <w:rPr>
          <w:rFonts w:hint="eastAsia" w:ascii="微软雅黑" w:hAnsi="微软雅黑" w:eastAsia="微软雅黑" w:cs="微软雅黑"/>
          <w:b/>
          <w:sz w:val="24"/>
        </w:rPr>
        <w:t>展示</w:t>
      </w:r>
      <w:r>
        <w:rPr>
          <w:rFonts w:ascii="微软雅黑" w:hAnsi="微软雅黑" w:eastAsia="微软雅黑" w:cs="微软雅黑"/>
          <w:b/>
          <w:sz w:val="24"/>
        </w:rPr>
        <w:t>。</w:t>
      </w:r>
    </w:p>
    <w:p>
      <w:pPr>
        <w:pStyle w:val="12"/>
        <w:numPr>
          <w:ilvl w:val="0"/>
          <w:numId w:val="5"/>
        </w:numPr>
        <w:spacing w:line="600" w:lineRule="auto"/>
        <w:ind w:left="851" w:firstLine="0" w:firstLineChars="0"/>
        <w:rPr>
          <w:rFonts w:ascii="微软雅黑" w:hAnsi="微软雅黑" w:eastAsia="微软雅黑" w:cs="微软雅黑"/>
          <w:b/>
          <w:sz w:val="24"/>
        </w:rPr>
      </w:pPr>
      <w:r>
        <w:rPr>
          <w:rFonts w:hint="eastAsia" w:ascii="微软雅黑" w:hAnsi="微软雅黑" w:eastAsia="微软雅黑" w:cs="微软雅黑"/>
          <w:b/>
          <w:sz w:val="24"/>
        </w:rPr>
        <w:t>环氧树脂地坪：施工工艺及</w:t>
      </w:r>
      <w:r>
        <w:rPr>
          <w:rFonts w:ascii="微软雅黑" w:hAnsi="微软雅黑" w:eastAsia="微软雅黑" w:cs="微软雅黑"/>
          <w:b/>
          <w:sz w:val="24"/>
        </w:rPr>
        <w:t>工具简介；</w:t>
      </w:r>
      <w:r>
        <w:rPr>
          <w:rFonts w:hint="eastAsia" w:ascii="微软雅黑" w:hAnsi="微软雅黑" w:eastAsia="微软雅黑" w:cs="微软雅黑"/>
          <w:b/>
          <w:sz w:val="24"/>
        </w:rPr>
        <w:t>基层要求、</w:t>
      </w:r>
      <w:r>
        <w:rPr>
          <w:rFonts w:ascii="微软雅黑" w:hAnsi="微软雅黑" w:eastAsia="微软雅黑" w:cs="微软雅黑"/>
          <w:b/>
          <w:sz w:val="24"/>
        </w:rPr>
        <w:t>处理、</w:t>
      </w:r>
      <w:r>
        <w:rPr>
          <w:rFonts w:hint="eastAsia" w:ascii="微软雅黑" w:hAnsi="微软雅黑" w:eastAsia="微软雅黑" w:cs="微软雅黑"/>
          <w:b/>
          <w:sz w:val="24"/>
        </w:rPr>
        <w:t>检查</w:t>
      </w:r>
      <w:r>
        <w:rPr>
          <w:rFonts w:ascii="微软雅黑" w:hAnsi="微软雅黑" w:eastAsia="微软雅黑" w:cs="微软雅黑"/>
          <w:b/>
          <w:sz w:val="24"/>
        </w:rPr>
        <w:t>；</w:t>
      </w:r>
      <w:r>
        <w:rPr>
          <w:rFonts w:hint="eastAsia" w:ascii="微软雅黑" w:hAnsi="微软雅黑" w:eastAsia="微软雅黑" w:cs="微软雅黑"/>
          <w:b/>
          <w:sz w:val="24"/>
        </w:rPr>
        <w:t>地坪种类；超重压环氧砂浆地坪、</w:t>
      </w:r>
      <w:r>
        <w:rPr>
          <w:rFonts w:ascii="微软雅黑" w:hAnsi="微软雅黑" w:eastAsia="微软雅黑" w:cs="微软雅黑"/>
          <w:b/>
          <w:sz w:val="24"/>
        </w:rPr>
        <w:t xml:space="preserve"> </w:t>
      </w:r>
      <w:r>
        <w:rPr>
          <w:rFonts w:hint="eastAsia" w:ascii="微软雅黑" w:hAnsi="微软雅黑" w:eastAsia="微软雅黑" w:cs="微软雅黑"/>
          <w:b/>
          <w:sz w:val="24"/>
        </w:rPr>
        <w:t>防滑型环氧地坪、防静电型环氧地坪、环氧石英石地坪、耐候型PU地坪、耐磨经济型环氧地坪、耐磨重压型环氧地坪、水性环氧地坪、无溶剂环氧自流平地坪的适用范围、性能特点及操作</w:t>
      </w:r>
      <w:r>
        <w:rPr>
          <w:rFonts w:ascii="微软雅黑" w:hAnsi="微软雅黑" w:eastAsia="微软雅黑" w:cs="微软雅黑"/>
          <w:b/>
          <w:sz w:val="24"/>
        </w:rPr>
        <w:t>工艺要求；</w:t>
      </w:r>
      <w:r>
        <w:rPr>
          <w:rFonts w:hint="eastAsia" w:ascii="微软雅黑" w:hAnsi="微软雅黑" w:eastAsia="微软雅黑" w:cs="微软雅黑"/>
          <w:b/>
          <w:sz w:val="24"/>
        </w:rPr>
        <w:t>涂装注意事项与</w:t>
      </w:r>
      <w:r>
        <w:rPr>
          <w:rFonts w:ascii="微软雅黑" w:hAnsi="微软雅黑" w:eastAsia="微软雅黑" w:cs="微软雅黑"/>
          <w:b/>
          <w:sz w:val="24"/>
        </w:rPr>
        <w:t>养护。</w:t>
      </w:r>
    </w:p>
    <w:p>
      <w:pPr>
        <w:pStyle w:val="12"/>
        <w:ind w:left="1260" w:firstLine="0" w:firstLineChars="0"/>
        <w:rPr>
          <w:rFonts w:ascii="微软雅黑" w:hAnsi="微软雅黑" w:eastAsia="微软雅黑" w:cs="微软雅黑"/>
          <w:b/>
          <w:sz w:val="24"/>
        </w:rPr>
      </w:pPr>
    </w:p>
    <w:p>
      <w:pPr>
        <w:adjustRightInd w:val="0"/>
        <w:snapToGrid w:val="0"/>
        <w:spacing w:line="288" w:lineRule="auto"/>
        <w:ind w:left="1418" w:hanging="567"/>
        <w:jc w:val="center"/>
        <w:rPr>
          <w:rFonts w:ascii="微软雅黑" w:hAnsi="微软雅黑" w:eastAsia="微软雅黑" w:cs="宋体"/>
          <w:b/>
          <w:color w:val="404040"/>
          <w:spacing w:val="10"/>
          <w:szCs w:val="21"/>
        </w:rPr>
      </w:pPr>
      <w:r>
        <w:rPr>
          <w:rFonts w:ascii="微软雅黑" w:hAnsi="微软雅黑" w:eastAsia="微软雅黑" w:cs="微软雅黑"/>
          <w:b/>
          <w:sz w:val="28"/>
          <w:szCs w:val="28"/>
        </w:rPr>
        <w:br w:type="page"/>
      </w:r>
      <w:r>
        <w:rPr>
          <w:rFonts w:ascii="微软雅黑" w:hAnsi="微软雅黑" w:eastAsia="微软雅黑" w:cs="宋体"/>
          <w:b/>
          <w:color w:val="404040"/>
          <w:spacing w:val="10"/>
          <w:szCs w:val="21"/>
          <w:lang/>
        </w:rPr>
        <w:drawing>
          <wp:inline distT="0" distB="0" distL="114300" distR="114300">
            <wp:extent cx="6199505" cy="394970"/>
            <wp:effectExtent l="0" t="0" r="3175" b="12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5"/>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6"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2"/>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2"/>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1" w:name="_Hlk118432381"/>
      <w:r>
        <w:rPr>
          <w:rFonts w:hint="eastAsia" w:ascii="微软雅黑" w:hAnsi="微软雅黑" w:eastAsia="微软雅黑" w:cs="微软雅黑"/>
          <w:color w:val="404040"/>
          <w:szCs w:val="21"/>
        </w:rPr>
        <w:t>工程精益管理</w:t>
      </w:r>
      <w:bookmarkEnd w:id="1"/>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2" w:name="_Hlk118432986"/>
      <w:r>
        <w:rPr>
          <w:rFonts w:hint="eastAsia" w:ascii="微软雅黑" w:hAnsi="微软雅黑" w:eastAsia="微软雅黑" w:cs="微软雅黑"/>
          <w:color w:val="404040"/>
          <w:szCs w:val="21"/>
        </w:rPr>
        <w:t>项目总角色定位与项目管理能力</w:t>
      </w:r>
      <w:bookmarkEnd w:id="2"/>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0"/>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3" w:name="_Hlk118436183"/>
      <w:r>
        <w:rPr>
          <w:rFonts w:hint="eastAsia" w:ascii="微软雅黑" w:hAnsi="微软雅黑" w:eastAsia="微软雅黑" w:cs="微软雅黑"/>
          <w:color w:val="404040"/>
          <w:szCs w:val="21"/>
        </w:rPr>
        <w:t>安全管理</w:t>
      </w:r>
      <w:bookmarkEnd w:id="3"/>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4"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4"/>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5" w:name="_Hlk118437736"/>
      <w:r>
        <w:rPr>
          <w:rFonts w:hint="eastAsia" w:ascii="微软雅黑" w:hAnsi="微软雅黑" w:eastAsia="微软雅黑" w:cs="微软雅黑"/>
          <w:color w:val="404040"/>
          <w:szCs w:val="21"/>
        </w:rPr>
        <w:t>保交付</w:t>
      </w:r>
      <w:bookmarkEnd w:id="5"/>
      <w:r>
        <w:rPr>
          <w:rFonts w:hint="eastAsia" w:ascii="微软雅黑" w:hAnsi="微软雅黑" w:eastAsia="微软雅黑" w:cs="微软雅黑"/>
          <w:color w:val="404040"/>
          <w:szCs w:val="21"/>
        </w:rPr>
        <w:t>保质量下的工</w:t>
      </w:r>
      <w:bookmarkStart w:id="6" w:name="_Hlk118437723"/>
      <w:r>
        <w:rPr>
          <w:rFonts w:hint="eastAsia" w:ascii="微软雅黑" w:hAnsi="微软雅黑" w:eastAsia="微软雅黑" w:cs="微软雅黑"/>
          <w:color w:val="404040"/>
          <w:szCs w:val="21"/>
        </w:rPr>
        <w:t>程穿插提效快速施工</w:t>
      </w:r>
      <w:bookmarkEnd w:id="6"/>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7" w:name="_Hlk118438008"/>
      <w:r>
        <w:rPr>
          <w:rFonts w:hint="eastAsia" w:ascii="微软雅黑" w:hAnsi="微软雅黑" w:eastAsia="微软雅黑" w:cs="微软雅黑"/>
          <w:color w:val="404040"/>
          <w:szCs w:val="21"/>
        </w:rPr>
        <w:t>地基基础施工工艺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5"/>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4"/>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szCs w:val="21"/>
          <w:highlight w:val="yellow"/>
        </w:rPr>
        <w:t>《</w:t>
      </w:r>
      <w:bookmarkStart w:id="8" w:name="_Hlk118438098"/>
      <w:r>
        <w:rPr>
          <w:rFonts w:hint="eastAsia" w:ascii="微软雅黑" w:hAnsi="微软雅黑" w:eastAsia="微软雅黑" w:cs="微软雅黑"/>
          <w:color w:val="404040"/>
          <w:szCs w:val="21"/>
          <w:highlight w:val="yellow"/>
        </w:rPr>
        <w:t>装饰装修施工工艺</w:t>
      </w:r>
      <w:bookmarkEnd w:id="8"/>
      <w:r>
        <w:rPr>
          <w:rFonts w:hint="eastAsia" w:ascii="微软雅黑" w:hAnsi="微软雅黑" w:eastAsia="微软雅黑" w:cs="微软雅黑"/>
          <w:color w:val="404040"/>
          <w:szCs w:val="21"/>
          <w:highlight w:val="yellow"/>
        </w:rPr>
        <w:t>管控要点及实战案例</w:t>
      </w:r>
      <w:r>
        <w:rPr>
          <w:rFonts w:hint="eastAsia" w:ascii="微软雅黑" w:hAnsi="微软雅黑" w:eastAsia="微软雅黑" w:cs="微软雅黑"/>
          <w:szCs w:val="21"/>
          <w:highlight w:val="yellow"/>
        </w:rPr>
        <w:t>》</w:t>
      </w:r>
      <w:r>
        <w:rPr>
          <w:rFonts w:hint="eastAsia" w:ascii="微软雅黑" w:hAnsi="微软雅黑" w:eastAsia="微软雅黑" w:cs="微软雅黑"/>
          <w:b/>
          <w:color w:val="404040"/>
          <w:szCs w:val="21"/>
          <w:highlight w:val="yellow"/>
        </w:rPr>
        <w:t>（土建工程专业装饰装修施工工艺管理提升课程）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9" w:name="_Hlk118438294"/>
      <w:r>
        <w:rPr>
          <w:rFonts w:hint="eastAsia" w:ascii="微软雅黑" w:hAnsi="微软雅黑" w:eastAsia="微软雅黑" w:cs="微软雅黑"/>
          <w:color w:val="404040"/>
          <w:szCs w:val="21"/>
        </w:rPr>
        <w:t>总承包</w:t>
      </w:r>
      <w:bookmarkEnd w:id="9"/>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62729D"/>
    <w:multiLevelType w:val="multilevel"/>
    <w:tmpl w:val="0362729D"/>
    <w:lvl w:ilvl="0" w:tentative="0">
      <w:start w:val="1"/>
      <w:numFmt w:val="decimal"/>
      <w:lvlText w:val="%1."/>
      <w:lvlJc w:val="left"/>
      <w:pPr>
        <w:ind w:left="1200" w:hanging="7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CFB4F1C"/>
    <w:multiLevelType w:val="multilevel"/>
    <w:tmpl w:val="2CFB4F1C"/>
    <w:lvl w:ilvl="0" w:tentative="0">
      <w:start w:val="1"/>
      <w:numFmt w:val="decimal"/>
      <w:lvlText w:val="%1."/>
      <w:lvlJc w:val="left"/>
      <w:pPr>
        <w:ind w:left="1200" w:hanging="7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4E671B70"/>
    <w:multiLevelType w:val="multilevel"/>
    <w:tmpl w:val="4E671B70"/>
    <w:lvl w:ilvl="0" w:tentative="0">
      <w:start w:val="1"/>
      <w:numFmt w:val="decimal"/>
      <w:lvlText w:val="%1."/>
      <w:lvlJc w:val="left"/>
      <w:pPr>
        <w:ind w:left="1200" w:hanging="7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572A3753"/>
    <w:multiLevelType w:val="multilevel"/>
    <w:tmpl w:val="572A3753"/>
    <w:lvl w:ilvl="0" w:tentative="0">
      <w:start w:val="1"/>
      <w:numFmt w:val="decimal"/>
      <w:lvlText w:val="%1."/>
      <w:lvlJc w:val="left"/>
      <w:pPr>
        <w:ind w:left="1200" w:hanging="7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59CF2C12"/>
    <w:multiLevelType w:val="multilevel"/>
    <w:tmpl w:val="59CF2C12"/>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0">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8"/>
  </w:num>
  <w:num w:numId="2">
    <w:abstractNumId w:val="0"/>
  </w:num>
  <w:num w:numId="3">
    <w:abstractNumId w:val="4"/>
  </w:num>
  <w:num w:numId="4">
    <w:abstractNumId w:val="6"/>
  </w:num>
  <w:num w:numId="5">
    <w:abstractNumId w:val="7"/>
  </w:num>
  <w:num w:numId="6">
    <w:abstractNumId w:val="3"/>
  </w:num>
  <w:num w:numId="7">
    <w:abstractNumId w:val="12"/>
  </w:num>
  <w:num w:numId="8">
    <w:abstractNumId w:val="1"/>
  </w:num>
  <w:num w:numId="9">
    <w:abstractNumId w:val="5"/>
  </w:num>
  <w:num w:numId="10">
    <w:abstractNumId w:val="11"/>
  </w:num>
  <w:num w:numId="11">
    <w:abstractNumId w:val="9"/>
  </w:num>
  <w:num w:numId="12">
    <w:abstractNumId w:val="2"/>
  </w:num>
  <w:num w:numId="13">
    <w:abstractNumId w:val="9"/>
  </w:num>
  <w:num w:numId="14">
    <w:abstractNumId w:val="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122C"/>
    <w:rsid w:val="00003AEB"/>
    <w:rsid w:val="00006AC8"/>
    <w:rsid w:val="00030C80"/>
    <w:rsid w:val="00062362"/>
    <w:rsid w:val="00064028"/>
    <w:rsid w:val="00075514"/>
    <w:rsid w:val="0009275D"/>
    <w:rsid w:val="000979CB"/>
    <w:rsid w:val="000B6C4B"/>
    <w:rsid w:val="000C6C71"/>
    <w:rsid w:val="000D195B"/>
    <w:rsid w:val="000E4D18"/>
    <w:rsid w:val="00100B88"/>
    <w:rsid w:val="0011547E"/>
    <w:rsid w:val="0013013A"/>
    <w:rsid w:val="0013535E"/>
    <w:rsid w:val="00140F17"/>
    <w:rsid w:val="001429C5"/>
    <w:rsid w:val="0015199E"/>
    <w:rsid w:val="00151DB4"/>
    <w:rsid w:val="0015295D"/>
    <w:rsid w:val="001745C7"/>
    <w:rsid w:val="00185EEB"/>
    <w:rsid w:val="00191555"/>
    <w:rsid w:val="001C391F"/>
    <w:rsid w:val="001E0A5E"/>
    <w:rsid w:val="001E6544"/>
    <w:rsid w:val="001F3EF8"/>
    <w:rsid w:val="001F786F"/>
    <w:rsid w:val="002170AA"/>
    <w:rsid w:val="00222A87"/>
    <w:rsid w:val="00235115"/>
    <w:rsid w:val="002434FF"/>
    <w:rsid w:val="00244CE4"/>
    <w:rsid w:val="00247570"/>
    <w:rsid w:val="002555A4"/>
    <w:rsid w:val="00263A6F"/>
    <w:rsid w:val="00277808"/>
    <w:rsid w:val="00286226"/>
    <w:rsid w:val="002877F6"/>
    <w:rsid w:val="00290A2A"/>
    <w:rsid w:val="00291C6C"/>
    <w:rsid w:val="002941B6"/>
    <w:rsid w:val="002C08EF"/>
    <w:rsid w:val="002D6EF4"/>
    <w:rsid w:val="002E26D9"/>
    <w:rsid w:val="002F401E"/>
    <w:rsid w:val="002F64A0"/>
    <w:rsid w:val="0031596C"/>
    <w:rsid w:val="0033554E"/>
    <w:rsid w:val="00350713"/>
    <w:rsid w:val="00351908"/>
    <w:rsid w:val="00363BA6"/>
    <w:rsid w:val="0036613B"/>
    <w:rsid w:val="00366363"/>
    <w:rsid w:val="00386F07"/>
    <w:rsid w:val="0038765F"/>
    <w:rsid w:val="00396363"/>
    <w:rsid w:val="003A7457"/>
    <w:rsid w:val="003D540C"/>
    <w:rsid w:val="003E619C"/>
    <w:rsid w:val="00404613"/>
    <w:rsid w:val="00407036"/>
    <w:rsid w:val="00423F1E"/>
    <w:rsid w:val="00425A3F"/>
    <w:rsid w:val="00444F0F"/>
    <w:rsid w:val="00460105"/>
    <w:rsid w:val="00471979"/>
    <w:rsid w:val="00475856"/>
    <w:rsid w:val="00486FFE"/>
    <w:rsid w:val="00492F72"/>
    <w:rsid w:val="004A11DA"/>
    <w:rsid w:val="004A1970"/>
    <w:rsid w:val="004A1C68"/>
    <w:rsid w:val="004B7E82"/>
    <w:rsid w:val="004C150C"/>
    <w:rsid w:val="004C6DBD"/>
    <w:rsid w:val="004E1C26"/>
    <w:rsid w:val="00506ACE"/>
    <w:rsid w:val="005100D5"/>
    <w:rsid w:val="0051455E"/>
    <w:rsid w:val="0051520C"/>
    <w:rsid w:val="00517B4D"/>
    <w:rsid w:val="00520471"/>
    <w:rsid w:val="00531E46"/>
    <w:rsid w:val="00553F13"/>
    <w:rsid w:val="00577F0B"/>
    <w:rsid w:val="0058697F"/>
    <w:rsid w:val="00596E95"/>
    <w:rsid w:val="005A0CDB"/>
    <w:rsid w:val="005D39AE"/>
    <w:rsid w:val="00620066"/>
    <w:rsid w:val="00633212"/>
    <w:rsid w:val="00653C92"/>
    <w:rsid w:val="00660232"/>
    <w:rsid w:val="00665A47"/>
    <w:rsid w:val="0067469A"/>
    <w:rsid w:val="00675875"/>
    <w:rsid w:val="00687D03"/>
    <w:rsid w:val="0069080A"/>
    <w:rsid w:val="006B685E"/>
    <w:rsid w:val="006D3DEF"/>
    <w:rsid w:val="006D7836"/>
    <w:rsid w:val="006E0E13"/>
    <w:rsid w:val="00707C86"/>
    <w:rsid w:val="0071259F"/>
    <w:rsid w:val="007348CC"/>
    <w:rsid w:val="007726F3"/>
    <w:rsid w:val="0077320A"/>
    <w:rsid w:val="00785A8D"/>
    <w:rsid w:val="007B03E7"/>
    <w:rsid w:val="007C3FBD"/>
    <w:rsid w:val="007D67FE"/>
    <w:rsid w:val="007E24F1"/>
    <w:rsid w:val="007E27AF"/>
    <w:rsid w:val="007E76F1"/>
    <w:rsid w:val="007F4482"/>
    <w:rsid w:val="00802A72"/>
    <w:rsid w:val="0081468D"/>
    <w:rsid w:val="00821D88"/>
    <w:rsid w:val="008235F6"/>
    <w:rsid w:val="00857F09"/>
    <w:rsid w:val="00864CBE"/>
    <w:rsid w:val="00885472"/>
    <w:rsid w:val="008942DA"/>
    <w:rsid w:val="008952AF"/>
    <w:rsid w:val="009031C7"/>
    <w:rsid w:val="009356D5"/>
    <w:rsid w:val="009421E2"/>
    <w:rsid w:val="00956829"/>
    <w:rsid w:val="0097034A"/>
    <w:rsid w:val="0098470E"/>
    <w:rsid w:val="009850BB"/>
    <w:rsid w:val="00993554"/>
    <w:rsid w:val="009A6653"/>
    <w:rsid w:val="009D62C8"/>
    <w:rsid w:val="009E7AED"/>
    <w:rsid w:val="009F0DAD"/>
    <w:rsid w:val="009F1F2C"/>
    <w:rsid w:val="009F5577"/>
    <w:rsid w:val="00A0328B"/>
    <w:rsid w:val="00A07440"/>
    <w:rsid w:val="00A236B2"/>
    <w:rsid w:val="00A3123C"/>
    <w:rsid w:val="00A522F0"/>
    <w:rsid w:val="00A54B56"/>
    <w:rsid w:val="00A6583C"/>
    <w:rsid w:val="00A76C3F"/>
    <w:rsid w:val="00A80D66"/>
    <w:rsid w:val="00A82975"/>
    <w:rsid w:val="00A86084"/>
    <w:rsid w:val="00A8706F"/>
    <w:rsid w:val="00AC5E27"/>
    <w:rsid w:val="00AD4B10"/>
    <w:rsid w:val="00AD526B"/>
    <w:rsid w:val="00AE14A4"/>
    <w:rsid w:val="00B12AA2"/>
    <w:rsid w:val="00B24901"/>
    <w:rsid w:val="00B26918"/>
    <w:rsid w:val="00B41CD2"/>
    <w:rsid w:val="00B44FD5"/>
    <w:rsid w:val="00B648A0"/>
    <w:rsid w:val="00B65FDE"/>
    <w:rsid w:val="00B71905"/>
    <w:rsid w:val="00B825E2"/>
    <w:rsid w:val="00B93F8B"/>
    <w:rsid w:val="00BA370E"/>
    <w:rsid w:val="00BC6AAA"/>
    <w:rsid w:val="00BD67F0"/>
    <w:rsid w:val="00BD6A6C"/>
    <w:rsid w:val="00BF4D86"/>
    <w:rsid w:val="00BF7C13"/>
    <w:rsid w:val="00C00C29"/>
    <w:rsid w:val="00C064AA"/>
    <w:rsid w:val="00C16DE0"/>
    <w:rsid w:val="00C41C5C"/>
    <w:rsid w:val="00C4273D"/>
    <w:rsid w:val="00C44ECE"/>
    <w:rsid w:val="00C5318E"/>
    <w:rsid w:val="00C614C1"/>
    <w:rsid w:val="00C62174"/>
    <w:rsid w:val="00C675A5"/>
    <w:rsid w:val="00C723DB"/>
    <w:rsid w:val="00C92DE5"/>
    <w:rsid w:val="00CA3002"/>
    <w:rsid w:val="00CB4502"/>
    <w:rsid w:val="00CE2DC1"/>
    <w:rsid w:val="00CF24E5"/>
    <w:rsid w:val="00D05669"/>
    <w:rsid w:val="00D175EE"/>
    <w:rsid w:val="00D225D1"/>
    <w:rsid w:val="00D352D3"/>
    <w:rsid w:val="00D37612"/>
    <w:rsid w:val="00D6787F"/>
    <w:rsid w:val="00D80B19"/>
    <w:rsid w:val="00D91AE6"/>
    <w:rsid w:val="00D9536D"/>
    <w:rsid w:val="00DA56A6"/>
    <w:rsid w:val="00DC3C68"/>
    <w:rsid w:val="00DD306B"/>
    <w:rsid w:val="00DE3153"/>
    <w:rsid w:val="00DF631C"/>
    <w:rsid w:val="00E331C2"/>
    <w:rsid w:val="00E44D73"/>
    <w:rsid w:val="00E50433"/>
    <w:rsid w:val="00E677AD"/>
    <w:rsid w:val="00E90178"/>
    <w:rsid w:val="00E943B1"/>
    <w:rsid w:val="00E94B94"/>
    <w:rsid w:val="00EA6896"/>
    <w:rsid w:val="00EB2815"/>
    <w:rsid w:val="00ED65FA"/>
    <w:rsid w:val="00EE02BD"/>
    <w:rsid w:val="00EF0E06"/>
    <w:rsid w:val="00EF160C"/>
    <w:rsid w:val="00F07422"/>
    <w:rsid w:val="00F11A40"/>
    <w:rsid w:val="00F21560"/>
    <w:rsid w:val="00F25A99"/>
    <w:rsid w:val="00F30C27"/>
    <w:rsid w:val="00F327BC"/>
    <w:rsid w:val="00F33918"/>
    <w:rsid w:val="00F3594E"/>
    <w:rsid w:val="00F91CFC"/>
    <w:rsid w:val="00F92274"/>
    <w:rsid w:val="00F934E6"/>
    <w:rsid w:val="00FA20BC"/>
    <w:rsid w:val="00FA3F6F"/>
    <w:rsid w:val="00FB1623"/>
    <w:rsid w:val="00FB2BB1"/>
    <w:rsid w:val="00FB5406"/>
    <w:rsid w:val="00FE2EF0"/>
    <w:rsid w:val="00FE71FA"/>
    <w:rsid w:val="00FF0C2C"/>
    <w:rsid w:val="00FF242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4590F1A"/>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0"/>
    <w:rPr>
      <w:b/>
    </w:rPr>
  </w:style>
  <w:style w:type="character" w:customStyle="1" w:styleId="9">
    <w:name w:val="页眉 Char"/>
    <w:link w:val="4"/>
    <w:uiPriority w:val="0"/>
    <w:rPr>
      <w:kern w:val="2"/>
      <w:sz w:val="18"/>
      <w:szCs w:val="18"/>
    </w:rPr>
  </w:style>
  <w:style w:type="character" w:customStyle="1" w:styleId="10">
    <w:name w:val="页脚 Char"/>
    <w:link w:val="3"/>
    <w:uiPriority w:val="0"/>
    <w:rPr>
      <w:kern w:val="2"/>
      <w:sz w:val="18"/>
      <w:szCs w:val="18"/>
    </w:rPr>
  </w:style>
  <w:style w:type="paragraph" w:customStyle="1" w:styleId="11">
    <w:name w:val="样式1"/>
    <w:basedOn w:val="2"/>
    <w:qFormat/>
    <w:uiPriority w:val="0"/>
    <w:pPr>
      <w:spacing w:line="360" w:lineRule="auto"/>
      <w:jc w:val="center"/>
    </w:pPr>
    <w:rPr>
      <w:rFonts w:ascii="微软雅黑" w:hAnsi="微软雅黑" w:eastAsia="微软雅黑"/>
      <w:sz w:val="32"/>
      <w:szCs w:val="32"/>
    </w:rPr>
  </w:style>
  <w:style w:type="paragraph" w:styleId="12">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4145</Words>
  <Characters>4158</Characters>
  <Lines>30</Lines>
  <Paragraphs>8</Paragraphs>
  <TotalTime>0</TotalTime>
  <ScaleCrop>false</ScaleCrop>
  <LinksUpToDate>false</LinksUpToDate>
  <CharactersWithSpaces>4191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2022-04-22T11:20:00Z</dcterms:created>
  <dc:creator>微软中国</dc:creator>
  <cp:lastModifiedBy>蓉儿</cp:lastModifiedBy>
  <dcterms:modified xsi:type="dcterms:W3CDTF">2023-01-04T08:26:10Z</dcterms:modified>
  <dc:title>在当前房地产行业中，设计管理一直是各地产公司管理的焦点和难点</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BE4F83F8B947416E94BFCC961ACB69E5</vt:lpwstr>
  </property>
</Properties>
</file>