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left="567" w:leftChars="270"/>
        <w:jc w:val="center"/>
        <w:rPr>
          <w:rFonts w:ascii="微软雅黑" w:hAnsi="微软雅黑" w:eastAsia="微软雅黑" w:cs="微软雅黑"/>
          <w:b/>
          <w:bCs/>
          <w:sz w:val="24"/>
        </w:rPr>
      </w:pPr>
      <w:bookmarkStart w:id="9" w:name="_GoBack"/>
      <w:bookmarkEnd w:id="9"/>
      <w:r>
        <w:rPr>
          <w:rFonts w:hint="eastAsia" w:ascii="微软雅黑" w:hAnsi="微软雅黑" w:eastAsia="微软雅黑" w:cs="微软雅黑"/>
          <w:b/>
          <w:bCs/>
          <w:sz w:val="24"/>
        </w:rPr>
        <w:t>标杆房企招采成本供方管控的管理要点及谈判实战案例</w:t>
      </w:r>
    </w:p>
    <w:p>
      <w:pPr>
        <w:pStyle w:val="2"/>
        <w:jc w:val="both"/>
        <w:rPr>
          <w:rFonts w:hint="eastAsia"/>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【课程背景】</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在当前房地产行业中，工程管理一直是各地产公司管理的焦点和难点。面对错误百出的工程图纸，严苛的成本控制，不听话的供应商，紧张的建造周期、高标准的质量要求、变态的客户投诉。如何最大程度地提高工程管理人员的招采成本供方管控水平，从拿地伊始，准确预控成本模型走势，把控关键节点的成本核心要点；通过集中采购，优先锁定核心建材综合单价；合理预控销售部门产品需求变动导致的后续成本变动影响；通过样板管控，提前锁死所有项目“灰色地带”；通过审图管控，在确保产品品质前提下，有效降低无效成本；通过供方谈判，强化对供应商的过程管控能力等，成为当前房地产工程管理中的一项重要关键任务。</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22年的工作经历及经验（10年中建系统工作经历、11年地产企业管理经历），结合清华大学工程制造业精细化及流程化的管理方法，通过对100多个与招采成本供方管控有关的实际操作案例进行情景解剖，导出能够适合大多数地产企业确保工程管理目标前提下大幅提升招采成本供方管理水平的工作思路和技巧，以及切实落地的手段及措施。</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pStyle w:val="2"/>
        <w:jc w:val="both"/>
        <w:rPr>
          <w:rFonts w:hint="eastAsia"/>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pStyle w:val="13"/>
        <w:spacing w:line="480" w:lineRule="exact"/>
        <w:ind w:left="900" w:hanging="420" w:firstLineChars="0"/>
        <w:rPr>
          <w:rFonts w:hint="eastAsia" w:ascii="微软雅黑" w:hAnsi="微软雅黑" w:eastAsia="微软雅黑" w:cs="微软雅黑"/>
          <w:sz w:val="24"/>
        </w:rPr>
      </w:pPr>
      <w:r>
        <w:rPr>
          <w:rFonts w:hint="eastAsia" w:ascii="微软雅黑" w:hAnsi="微软雅黑" w:eastAsia="微软雅黑" w:cs="微软雅黑"/>
          <w:sz w:val="24"/>
        </w:rPr>
        <w:t>1、深刻理解并体会地产集团层级工程管理体系的三大使命，——质量愿景、质量目标、质量策划</w:t>
      </w:r>
    </w:p>
    <w:p>
      <w:pPr>
        <w:pStyle w:val="13"/>
        <w:spacing w:line="480" w:lineRule="exact"/>
        <w:ind w:left="900" w:hanging="420" w:firstLineChars="0"/>
        <w:rPr>
          <w:rFonts w:hint="eastAsia" w:ascii="微软雅黑" w:hAnsi="微软雅黑" w:eastAsia="微软雅黑" w:cs="微软雅黑"/>
          <w:sz w:val="24"/>
        </w:rPr>
      </w:pPr>
      <w:r>
        <w:rPr>
          <w:rFonts w:hint="eastAsia" w:ascii="微软雅黑" w:hAnsi="微软雅黑" w:eastAsia="微软雅黑" w:cs="微软雅黑"/>
          <w:sz w:val="24"/>
        </w:rPr>
        <w:t>2、理解掌握采购成本专业的目标管理，了解客户产品需求以及与工程采购成本有关的全专业各自需求重要性和关键要素，了解换位思考的重要性，以更好地保证全专业管控协同的有效实施</w:t>
      </w:r>
    </w:p>
    <w:p>
      <w:pPr>
        <w:pStyle w:val="13"/>
        <w:spacing w:line="480" w:lineRule="exact"/>
        <w:ind w:left="900" w:hanging="420" w:firstLineChars="0"/>
        <w:rPr>
          <w:rFonts w:hint="eastAsia" w:ascii="微软雅黑" w:hAnsi="微软雅黑" w:eastAsia="微软雅黑" w:cs="微软雅黑"/>
          <w:sz w:val="24"/>
        </w:rPr>
      </w:pPr>
      <w:r>
        <w:rPr>
          <w:rFonts w:hint="eastAsia" w:ascii="微软雅黑" w:hAnsi="微软雅黑" w:eastAsia="微软雅黑" w:cs="微软雅黑"/>
          <w:sz w:val="24"/>
        </w:rPr>
        <w:t>3、理解掌握采购成本专业的策划管理，了解前期工程采购成本策划的重要性和关键要素，以更好地保证成本和采购目标的匹配协同</w:t>
      </w:r>
    </w:p>
    <w:p>
      <w:pPr>
        <w:pStyle w:val="13"/>
        <w:spacing w:line="480" w:lineRule="exact"/>
        <w:ind w:left="900" w:hanging="420" w:firstLineChars="0"/>
        <w:rPr>
          <w:rFonts w:hint="eastAsia" w:ascii="微软雅黑" w:hAnsi="微软雅黑" w:eastAsia="微软雅黑" w:cs="微软雅黑"/>
          <w:sz w:val="24"/>
        </w:rPr>
      </w:pPr>
      <w:r>
        <w:rPr>
          <w:rFonts w:hint="eastAsia" w:ascii="微软雅黑" w:hAnsi="微软雅黑" w:eastAsia="微软雅黑" w:cs="微软雅黑"/>
          <w:sz w:val="24"/>
        </w:rPr>
        <w:t>4、理解掌握与成本精细化管理的重要性和关键要素，以更好的保证成本概算预算的合理分配</w:t>
      </w:r>
    </w:p>
    <w:p>
      <w:pPr>
        <w:pStyle w:val="13"/>
        <w:spacing w:line="480" w:lineRule="exact"/>
        <w:ind w:left="900" w:hanging="420" w:firstLineChars="0"/>
        <w:rPr>
          <w:rFonts w:hint="eastAsia" w:ascii="微软雅黑" w:hAnsi="微软雅黑" w:eastAsia="微软雅黑" w:cs="微软雅黑"/>
          <w:sz w:val="24"/>
        </w:rPr>
      </w:pPr>
      <w:r>
        <w:rPr>
          <w:rFonts w:hint="eastAsia" w:ascii="微软雅黑" w:hAnsi="微软雅黑" w:eastAsia="微软雅黑" w:cs="微软雅黑"/>
          <w:sz w:val="24"/>
        </w:rPr>
        <w:t>5、理解掌握与采购精细化管理的重要性和关键要素，以更好的保证工程技术标准和管理要求在合约中的落地,从而掌握管理总包、分包商、供应商和配套单位的主动权</w:t>
      </w:r>
    </w:p>
    <w:p>
      <w:pPr>
        <w:pStyle w:val="13"/>
        <w:spacing w:line="480" w:lineRule="exact"/>
        <w:ind w:left="900" w:hanging="420" w:firstLineChars="0"/>
        <w:rPr>
          <w:rFonts w:hint="eastAsia" w:ascii="微软雅黑" w:hAnsi="微软雅黑" w:eastAsia="微软雅黑" w:cs="微软雅黑"/>
          <w:sz w:val="24"/>
        </w:rPr>
      </w:pPr>
      <w:r>
        <w:rPr>
          <w:rFonts w:hint="eastAsia" w:ascii="微软雅黑" w:hAnsi="微软雅黑" w:eastAsia="微软雅黑" w:cs="微软雅黑"/>
          <w:sz w:val="24"/>
        </w:rPr>
        <w:t>6、理解掌握与工程样板精细化管理的重要性和关键要素，以更好的保证在样板管控环节更好的规避合约风险，减少产品质量引发的甲乙方冲突及返工；</w:t>
      </w:r>
    </w:p>
    <w:p>
      <w:pPr>
        <w:pStyle w:val="13"/>
        <w:spacing w:line="480" w:lineRule="exact"/>
        <w:ind w:left="900" w:hanging="420" w:firstLineChars="0"/>
        <w:rPr>
          <w:rFonts w:ascii="微软雅黑" w:hAnsi="微软雅黑" w:eastAsia="微软雅黑" w:cs="微软雅黑"/>
          <w:sz w:val="24"/>
        </w:rPr>
      </w:pPr>
      <w:r>
        <w:rPr>
          <w:rFonts w:hint="eastAsia" w:ascii="微软雅黑" w:hAnsi="微软雅黑" w:eastAsia="微软雅黑" w:cs="微软雅黑"/>
          <w:sz w:val="24"/>
        </w:rPr>
        <w:t>7、理解掌握与合作单位的“谈判”技巧的重要性和关键要素，以制定合理的“谈判”策略，确保每次谈判都能预设战场，立于“不败”之地，实现合作共赢；</w:t>
      </w:r>
    </w:p>
    <w:p>
      <w:pPr>
        <w:pStyle w:val="13"/>
        <w:spacing w:line="480" w:lineRule="exact"/>
        <w:ind w:left="900" w:hanging="420" w:firstLineChars="0"/>
        <w:rPr>
          <w:rFonts w:hint="eastAsia" w:ascii="微软雅黑" w:hAnsi="微软雅黑" w:eastAsia="微软雅黑" w:cs="微软雅黑"/>
          <w:sz w:val="24"/>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pStyle w:val="13"/>
        <w:spacing w:line="480" w:lineRule="exact"/>
        <w:ind w:left="426" w:firstLine="567" w:firstLineChars="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房地产企业董事长、总经理、总工、集团分管工程副总、项目总经理、工程总监、工程部经理成本总监、成本部经理、工程部经理、造价工程师等。</w:t>
      </w:r>
    </w:p>
    <w:p>
      <w:pPr>
        <w:spacing w:line="440" w:lineRule="exact"/>
        <w:ind w:left="567" w:leftChars="270"/>
        <w:rPr>
          <w:rFonts w:hint="eastAsia" w:ascii="微软雅黑" w:hAnsi="微软雅黑" w:eastAsia="微软雅黑" w:cs="微软雅黑"/>
          <w:b/>
          <w:bCs/>
          <w:color w:val="FF0000"/>
          <w:sz w:val="28"/>
          <w:szCs w:val="28"/>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第一部分：供方现场管理问题的现状和困惑及工程管理之道</w:t>
      </w:r>
    </w:p>
    <w:p>
      <w:pPr>
        <w:pStyle w:val="13"/>
        <w:numPr>
          <w:ilvl w:val="1"/>
          <w:numId w:val="1"/>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我们是否经常遇到这样的问题和困惑？</w:t>
      </w:r>
    </w:p>
    <w:p>
      <w:pPr>
        <w:pStyle w:val="13"/>
        <w:numPr>
          <w:ilvl w:val="2"/>
          <w:numId w:val="2"/>
        </w:numPr>
        <w:ind w:left="1419" w:leftChars="405" w:hanging="569" w:hangingChars="237"/>
        <w:rPr>
          <w:rFonts w:ascii="微软雅黑" w:hAnsi="微软雅黑" w:eastAsia="微软雅黑"/>
          <w:b/>
          <w:sz w:val="24"/>
          <w:szCs w:val="24"/>
        </w:rPr>
      </w:pPr>
      <w:r>
        <w:rPr>
          <w:rFonts w:hint="eastAsia" w:ascii="微软雅黑" w:hAnsi="微软雅黑" w:eastAsia="微软雅黑"/>
          <w:b/>
          <w:sz w:val="24"/>
          <w:szCs w:val="24"/>
        </w:rPr>
        <w:t>政府总喜欢指定供应商；公司非要搞集采；供方在签合同时态度特别好，说啥是啥，结构施工工期飞快，一到封顶就开始各种问题和别扭；</w:t>
      </w:r>
    </w:p>
    <w:p>
      <w:pPr>
        <w:pStyle w:val="13"/>
        <w:numPr>
          <w:ilvl w:val="2"/>
          <w:numId w:val="2"/>
        </w:numPr>
        <w:ind w:left="1419" w:leftChars="405" w:hanging="569" w:hangingChars="237"/>
        <w:rPr>
          <w:rFonts w:ascii="微软雅黑" w:hAnsi="微软雅黑" w:eastAsia="微软雅黑"/>
          <w:b/>
          <w:sz w:val="24"/>
        </w:rPr>
      </w:pPr>
      <w:r>
        <w:rPr>
          <w:rFonts w:hint="eastAsia" w:ascii="微软雅黑" w:hAnsi="微软雅黑" w:eastAsia="微软雅黑"/>
          <w:b/>
          <w:bCs/>
          <w:sz w:val="24"/>
        </w:rPr>
        <w:t>工程图纸错误百出；成本限额越来严苛；合约界面要么冲突，要么漏项；</w:t>
      </w:r>
      <w:r>
        <w:rPr>
          <w:rFonts w:hint="eastAsia" w:ascii="微软雅黑" w:hAnsi="微软雅黑" w:eastAsia="微软雅黑"/>
          <w:b/>
          <w:sz w:val="24"/>
        </w:rPr>
        <w:t>初装开始以后只愿做合同规定的内容，躲避接受甲方新的指令，拒不执行甲方要求（设计变更、工程指令），只要和其他供方相关的，总要想方设法推出去；</w:t>
      </w:r>
    </w:p>
    <w:p>
      <w:pPr>
        <w:pStyle w:val="13"/>
        <w:numPr>
          <w:ilvl w:val="2"/>
          <w:numId w:val="2"/>
        </w:numPr>
        <w:ind w:left="1419" w:leftChars="405" w:hanging="569" w:hangingChars="237"/>
        <w:rPr>
          <w:rFonts w:ascii="微软雅黑" w:hAnsi="微软雅黑" w:eastAsia="微软雅黑"/>
          <w:b/>
          <w:sz w:val="24"/>
        </w:rPr>
      </w:pPr>
      <w:r>
        <w:rPr>
          <w:rFonts w:hint="eastAsia" w:ascii="微软雅黑" w:hAnsi="微软雅黑" w:eastAsia="微软雅黑"/>
          <w:b/>
          <w:sz w:val="24"/>
        </w:rPr>
        <w:t>总分包之间矛盾和利益纠缠不清，公说公有理，婆说婆有理，</w:t>
      </w:r>
      <w:r>
        <w:rPr>
          <w:rFonts w:hint="eastAsia" w:ascii="微软雅黑" w:hAnsi="微软雅黑" w:eastAsia="微软雅黑"/>
          <w:b/>
          <w:bCs/>
          <w:sz w:val="24"/>
        </w:rPr>
        <w:t xml:space="preserve">总包总是 </w:t>
      </w:r>
      <w:r>
        <w:rPr>
          <w:rFonts w:hint="eastAsia" w:ascii="微软雅黑" w:hAnsi="微软雅黑" w:eastAsia="微软雅黑"/>
          <w:b/>
          <w:sz w:val="24"/>
        </w:rPr>
        <w:t xml:space="preserve"> “千方百计”刁难甲方指定的供方；</w:t>
      </w:r>
      <w:r>
        <w:rPr>
          <w:rFonts w:hint="eastAsia" w:ascii="微软雅黑" w:hAnsi="微软雅黑" w:eastAsia="微软雅黑"/>
          <w:b/>
          <w:bCs/>
          <w:sz w:val="24"/>
        </w:rPr>
        <w:t>整改销项就没利索过，修了还修，层出不穷</w:t>
      </w:r>
      <w:r>
        <w:rPr>
          <w:rFonts w:hint="eastAsia" w:ascii="微软雅黑" w:hAnsi="微软雅黑" w:eastAsia="微软雅黑"/>
          <w:b/>
          <w:sz w:val="24"/>
        </w:rPr>
        <w:t>；</w:t>
      </w:r>
    </w:p>
    <w:p>
      <w:pPr>
        <w:pStyle w:val="13"/>
        <w:numPr>
          <w:ilvl w:val="1"/>
          <w:numId w:val="1"/>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建立流程化的协同体系；甲方管理原因导致的现场矛盾：专业间的矛盾/甲乙方间的矛盾；跨专业协同/目标标准协同；</w:t>
      </w:r>
    </w:p>
    <w:p>
      <w:pPr>
        <w:pStyle w:val="13"/>
        <w:numPr>
          <w:ilvl w:val="1"/>
          <w:numId w:val="1"/>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工程管理之道：目标定标准/协同建流程/能力要提高；</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第二部分：供方工程目标和总平面布置管理</w:t>
      </w:r>
    </w:p>
    <w:p>
      <w:pPr>
        <w:pStyle w:val="13"/>
        <w:numPr>
          <w:ilvl w:val="0"/>
          <w:numId w:val="3"/>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项目分期目标管理目的；确认项目目标/供方管控协同/平衡供方标准/预控总平合理/规避索赔风险；</w:t>
      </w:r>
    </w:p>
    <w:p>
      <w:pPr>
        <w:pStyle w:val="13"/>
        <w:numPr>
          <w:ilvl w:val="0"/>
          <w:numId w:val="3"/>
        </w:numPr>
        <w:ind w:firstLineChars="0"/>
        <w:jc w:val="left"/>
        <w:rPr>
          <w:rFonts w:hint="eastAsia" w:ascii="微软雅黑" w:hAnsi="微软雅黑" w:eastAsia="微软雅黑"/>
          <w:b/>
          <w:bCs/>
          <w:sz w:val="24"/>
        </w:rPr>
      </w:pPr>
      <w:r>
        <w:rPr>
          <w:rFonts w:hint="eastAsia" w:ascii="微软雅黑" w:hAnsi="微软雅黑" w:eastAsia="微软雅黑"/>
          <w:b/>
          <w:sz w:val="24"/>
          <w:szCs w:val="24"/>
        </w:rPr>
        <w:t>项目和分期管理目标明确；人力/成本/销售/</w:t>
      </w:r>
      <w:r>
        <w:rPr>
          <w:rFonts w:hint="eastAsia" w:ascii="微软雅黑" w:hAnsi="微软雅黑" w:eastAsia="微软雅黑"/>
          <w:b/>
          <w:bCs/>
          <w:sz w:val="24"/>
        </w:rPr>
        <w:t>进度/质量目标；</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动态成本管控核心要点； 成本策划；设计策划/采购</w:t>
      </w:r>
      <w:r>
        <w:rPr>
          <w:rFonts w:ascii="微软雅黑" w:hAnsi="微软雅黑" w:eastAsia="微软雅黑"/>
          <w:b/>
          <w:sz w:val="24"/>
          <w:szCs w:val="24"/>
        </w:rPr>
        <w:t>策划</w:t>
      </w:r>
      <w:r>
        <w:rPr>
          <w:rFonts w:hint="eastAsia" w:ascii="微软雅黑" w:hAnsi="微软雅黑" w:eastAsia="微软雅黑"/>
          <w:b/>
          <w:sz w:val="24"/>
          <w:szCs w:val="24"/>
        </w:rPr>
        <w:t>/工程</w:t>
      </w:r>
      <w:r>
        <w:rPr>
          <w:rFonts w:ascii="微软雅黑" w:hAnsi="微软雅黑" w:eastAsia="微软雅黑"/>
          <w:b/>
          <w:sz w:val="24"/>
          <w:szCs w:val="24"/>
        </w:rPr>
        <w:t>策划</w:t>
      </w:r>
      <w:r>
        <w:rPr>
          <w:rFonts w:hint="eastAsia" w:ascii="微软雅黑" w:hAnsi="微软雅黑" w:eastAsia="微软雅黑"/>
          <w:b/>
          <w:sz w:val="24"/>
          <w:szCs w:val="24"/>
        </w:rPr>
        <w:t>/财务策划；</w:t>
      </w:r>
      <w:r>
        <w:rPr>
          <w:rFonts w:ascii="微软雅黑" w:hAnsi="微软雅黑" w:eastAsia="微软雅黑"/>
          <w:b/>
          <w:sz w:val="24"/>
          <w:szCs w:val="24"/>
        </w:rPr>
        <w:t>资金财务状况</w:t>
      </w:r>
      <w:r>
        <w:rPr>
          <w:rFonts w:hint="eastAsia" w:ascii="微软雅黑" w:hAnsi="微软雅黑" w:eastAsia="微软雅黑"/>
          <w:b/>
          <w:sz w:val="24"/>
          <w:szCs w:val="24"/>
        </w:rPr>
        <w:t>/回正时间</w:t>
      </w:r>
      <w:r>
        <w:rPr>
          <w:rFonts w:ascii="微软雅黑" w:hAnsi="微软雅黑" w:eastAsia="微软雅黑"/>
          <w:b/>
          <w:sz w:val="24"/>
          <w:szCs w:val="24"/>
        </w:rPr>
        <w:t>因素</w:t>
      </w:r>
      <w:r>
        <w:rPr>
          <w:rFonts w:hint="eastAsia" w:ascii="微软雅黑" w:hAnsi="微软雅黑" w:eastAsia="微软雅黑"/>
          <w:b/>
          <w:sz w:val="24"/>
          <w:szCs w:val="24"/>
        </w:rPr>
        <w:t>/成本</w:t>
      </w:r>
      <w:r>
        <w:rPr>
          <w:rFonts w:ascii="微软雅黑" w:hAnsi="微软雅黑" w:eastAsia="微软雅黑"/>
          <w:b/>
          <w:sz w:val="24"/>
          <w:szCs w:val="24"/>
        </w:rPr>
        <w:t>最优化</w:t>
      </w:r>
      <w:r>
        <w:rPr>
          <w:rFonts w:hint="eastAsia" w:ascii="微软雅黑" w:hAnsi="微软雅黑" w:eastAsia="微软雅黑"/>
          <w:b/>
          <w:sz w:val="24"/>
          <w:szCs w:val="24"/>
        </w:rPr>
        <w:t>/利润</w:t>
      </w:r>
      <w:r>
        <w:rPr>
          <w:rFonts w:ascii="微软雅黑" w:hAnsi="微软雅黑" w:eastAsia="微软雅黑"/>
          <w:b/>
          <w:sz w:val="24"/>
          <w:szCs w:val="24"/>
        </w:rPr>
        <w:t>最大化</w:t>
      </w:r>
      <w:r>
        <w:rPr>
          <w:rFonts w:hint="eastAsia" w:ascii="微软雅黑" w:hAnsi="微软雅黑" w:eastAsia="微软雅黑"/>
          <w:b/>
          <w:sz w:val="24"/>
          <w:szCs w:val="24"/>
        </w:rPr>
        <w:t>/资金</w:t>
      </w:r>
      <w:r>
        <w:rPr>
          <w:rFonts w:ascii="微软雅黑" w:hAnsi="微软雅黑" w:eastAsia="微软雅黑"/>
          <w:b/>
          <w:sz w:val="24"/>
          <w:szCs w:val="24"/>
        </w:rPr>
        <w:t>结转</w:t>
      </w:r>
      <w:r>
        <w:rPr>
          <w:rFonts w:hint="eastAsia" w:ascii="微软雅黑" w:hAnsi="微软雅黑" w:eastAsia="微软雅黑"/>
          <w:b/>
          <w:sz w:val="24"/>
          <w:szCs w:val="24"/>
        </w:rPr>
        <w:t>时效</w:t>
      </w:r>
      <w:r>
        <w:rPr>
          <w:rFonts w:ascii="微软雅黑" w:hAnsi="微软雅黑" w:eastAsia="微软雅黑"/>
          <w:b/>
          <w:sz w:val="24"/>
          <w:szCs w:val="24"/>
        </w:rPr>
        <w:t xml:space="preserve">； </w:t>
      </w:r>
      <w:r>
        <w:rPr>
          <w:rFonts w:hint="eastAsia" w:ascii="微软雅黑" w:hAnsi="微软雅黑" w:eastAsia="微软雅黑"/>
          <w:b/>
          <w:sz w:val="24"/>
          <w:szCs w:val="24"/>
        </w:rPr>
        <w:t>现金流回正/利润最大/</w:t>
      </w:r>
      <w:r>
        <w:rPr>
          <w:rFonts w:ascii="微软雅黑" w:hAnsi="微软雅黑" w:eastAsia="微软雅黑"/>
          <w:b/>
          <w:sz w:val="24"/>
          <w:szCs w:val="24"/>
        </w:rPr>
        <w:t>IRR</w:t>
      </w:r>
      <w:r>
        <w:rPr>
          <w:rFonts w:hint="eastAsia" w:ascii="微软雅黑" w:hAnsi="微软雅黑" w:eastAsia="微软雅黑"/>
          <w:b/>
          <w:sz w:val="24"/>
          <w:szCs w:val="24"/>
        </w:rPr>
        <w:t>最大/去化速度/去化率；现金流协同→现金流平衡；</w:t>
      </w:r>
    </w:p>
    <w:p>
      <w:pPr>
        <w:pStyle w:val="13"/>
        <w:numPr>
          <w:ilvl w:val="0"/>
          <w:numId w:val="3"/>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产品</w:t>
      </w:r>
      <w:r>
        <w:rPr>
          <w:rFonts w:ascii="微软雅黑" w:hAnsi="微软雅黑" w:eastAsia="微软雅黑"/>
          <w:b/>
          <w:sz w:val="24"/>
          <w:szCs w:val="24"/>
        </w:rPr>
        <w:t>质量管控；质量策划，</w:t>
      </w:r>
      <w:r>
        <w:rPr>
          <w:rFonts w:hint="eastAsia" w:ascii="微软雅黑" w:hAnsi="微软雅黑" w:eastAsia="微软雅黑"/>
          <w:b/>
          <w:sz w:val="24"/>
          <w:szCs w:val="24"/>
        </w:rPr>
        <w:t>产品</w:t>
      </w:r>
      <w:r>
        <w:rPr>
          <w:rFonts w:ascii="微软雅黑" w:hAnsi="微软雅黑" w:eastAsia="微软雅黑"/>
          <w:b/>
          <w:sz w:val="24"/>
          <w:szCs w:val="24"/>
        </w:rPr>
        <w:t>质量</w:t>
      </w:r>
      <w:r>
        <w:rPr>
          <w:rFonts w:hint="eastAsia" w:ascii="微软雅黑" w:hAnsi="微软雅黑" w:eastAsia="微软雅黑"/>
          <w:b/>
          <w:sz w:val="24"/>
          <w:szCs w:val="24"/>
        </w:rPr>
        <w:t>最好/成本</w:t>
      </w:r>
      <w:r>
        <w:rPr>
          <w:rFonts w:ascii="微软雅黑" w:hAnsi="微软雅黑" w:eastAsia="微软雅黑"/>
          <w:b/>
          <w:sz w:val="24"/>
          <w:szCs w:val="24"/>
        </w:rPr>
        <w:t>最优</w:t>
      </w:r>
      <w:r>
        <w:rPr>
          <w:rFonts w:hint="eastAsia" w:ascii="微软雅黑" w:hAnsi="微软雅黑" w:eastAsia="微软雅黑"/>
          <w:b/>
          <w:sz w:val="24"/>
          <w:szCs w:val="24"/>
        </w:rPr>
        <w:t>/图纸</w:t>
      </w:r>
      <w:r>
        <w:rPr>
          <w:rFonts w:ascii="微软雅黑" w:hAnsi="微软雅黑" w:eastAsia="微软雅黑"/>
          <w:b/>
          <w:sz w:val="24"/>
          <w:szCs w:val="24"/>
        </w:rPr>
        <w:t>质量</w:t>
      </w:r>
      <w:r>
        <w:rPr>
          <w:rFonts w:hint="eastAsia" w:ascii="微软雅黑" w:hAnsi="微软雅黑" w:eastAsia="微软雅黑"/>
          <w:b/>
          <w:sz w:val="24"/>
          <w:szCs w:val="24"/>
        </w:rPr>
        <w:t>最高/产品</w:t>
      </w:r>
      <w:r>
        <w:rPr>
          <w:rFonts w:ascii="微软雅黑" w:hAnsi="微软雅黑" w:eastAsia="微软雅黑"/>
          <w:b/>
          <w:sz w:val="24"/>
          <w:szCs w:val="24"/>
        </w:rPr>
        <w:t>标准</w:t>
      </w:r>
      <w:r>
        <w:rPr>
          <w:rFonts w:hint="eastAsia" w:ascii="微软雅黑" w:hAnsi="微软雅黑" w:eastAsia="微软雅黑"/>
          <w:b/>
          <w:sz w:val="24"/>
          <w:szCs w:val="24"/>
        </w:rPr>
        <w:t>最好/供方</w:t>
      </w:r>
      <w:r>
        <w:rPr>
          <w:rFonts w:ascii="微软雅黑" w:hAnsi="微软雅黑" w:eastAsia="微软雅黑"/>
          <w:b/>
          <w:sz w:val="24"/>
          <w:szCs w:val="24"/>
        </w:rPr>
        <w:t>效率</w:t>
      </w:r>
      <w:r>
        <w:rPr>
          <w:rFonts w:hint="eastAsia" w:ascii="微软雅黑" w:hAnsi="微软雅黑" w:eastAsia="微软雅黑"/>
          <w:b/>
          <w:sz w:val="24"/>
          <w:szCs w:val="24"/>
        </w:rPr>
        <w:t>最高；产品质量=产品标准+限额；</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案例：某项目的产品质量目标设定指标分解；</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案例：某项目门窗工程质量指标与供方质量目标的差异性分析；</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施工总平面布置管理；施工合理便捷/分期标段合理面积/合作方优先/开发面积1半/流水搭接/分期界面简洁/设备机具布置/临水临电道路分布/安全文明/看房通道/降低开发成本；</w:t>
      </w:r>
    </w:p>
    <w:p>
      <w:pPr>
        <w:pStyle w:val="13"/>
        <w:numPr>
          <w:ilvl w:val="2"/>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案例：某项目总图开工前提保障示例；</w:t>
      </w:r>
      <w:r>
        <w:rPr>
          <w:rFonts w:ascii="微软雅黑" w:hAnsi="微软雅黑" w:eastAsia="微软雅黑"/>
          <w:b/>
          <w:sz w:val="24"/>
          <w:szCs w:val="24"/>
        </w:rPr>
        <w:t xml:space="preserve"> </w:t>
      </w:r>
    </w:p>
    <w:p>
      <w:pPr>
        <w:pStyle w:val="13"/>
        <w:numPr>
          <w:ilvl w:val="2"/>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案例：某项目总图结合各阶段总平面布置示例；</w:t>
      </w:r>
    </w:p>
    <w:p>
      <w:pPr>
        <w:pStyle w:val="13"/>
        <w:numPr>
          <w:ilvl w:val="2"/>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案例：某项目总图施工总平面布置合理性示例；</w:t>
      </w:r>
    </w:p>
    <w:p>
      <w:pPr>
        <w:pStyle w:val="13"/>
        <w:numPr>
          <w:ilvl w:val="2"/>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案例：某项目大门围墙道路小市政全周期降本增效布置案例；</w:t>
      </w:r>
    </w:p>
    <w:p>
      <w:pPr>
        <w:pStyle w:val="13"/>
        <w:numPr>
          <w:ilvl w:val="2"/>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案例：某项目堆场/通道/塔吊全周期降本增效布置案例；</w:t>
      </w:r>
    </w:p>
    <w:p>
      <w:pPr>
        <w:pStyle w:val="13"/>
        <w:numPr>
          <w:ilvl w:val="2"/>
          <w:numId w:val="1"/>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例题：某项目</w:t>
      </w:r>
      <w:r>
        <w:rPr>
          <w:rFonts w:hint="eastAsia" w:ascii="微软雅黑" w:hAnsi="微软雅黑" w:eastAsia="微软雅黑"/>
          <w:b/>
          <w:bCs/>
          <w:sz w:val="24"/>
          <w:szCs w:val="24"/>
        </w:rPr>
        <w:t>堆场/通道/塔吊布置降本增效管理例题；</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施工总平面布置管理要点小结；目标一致/大门围墙定位/施工通道/临水电建设堆/动态总平布置；</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目标和施工总平面布置管理要点总结；知行合一/策划前置/成本限额/技术先行/重在执行;</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分组讨论</w:t>
      </w:r>
      <w:r>
        <w:rPr>
          <w:rFonts w:ascii="微软雅黑" w:hAnsi="微软雅黑" w:eastAsia="微软雅黑"/>
          <w:b/>
          <w:sz w:val="24"/>
          <w:szCs w:val="24"/>
        </w:rPr>
        <w:t>与交流；</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第三部分：供方成本采购策划的三大环节及审查的关键要领与案例分析</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供方成本策划管理；目标成本策划；设计限额策划；成本有效投放策划；供方措施费预控策划；</w:t>
      </w:r>
    </w:p>
    <w:p>
      <w:pPr>
        <w:pStyle w:val="13"/>
        <w:numPr>
          <w:ilvl w:val="2"/>
          <w:numId w:val="1"/>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例题：某项目总平面布置无效成本案例分析；</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供方采购策划管理；合同管理标准化；企业标准强制化；供方管理一体化；</w:t>
      </w:r>
      <w:r>
        <w:rPr>
          <w:rFonts w:hint="eastAsia" w:ascii="微软雅黑" w:hAnsi="微软雅黑" w:eastAsia="微软雅黑"/>
          <w:b/>
          <w:bCs/>
          <w:sz w:val="24"/>
          <w:szCs w:val="24"/>
        </w:rPr>
        <w:t>标准执行表单化</w:t>
      </w:r>
      <w:r>
        <w:rPr>
          <w:rFonts w:hint="eastAsia" w:ascii="微软雅黑" w:hAnsi="微软雅黑" w:eastAsia="微软雅黑"/>
          <w:b/>
          <w:sz w:val="24"/>
          <w:szCs w:val="24"/>
        </w:rPr>
        <w:t>；供方评标参数化；</w:t>
      </w:r>
      <w:r>
        <w:rPr>
          <w:rFonts w:ascii="微软雅黑" w:hAnsi="微软雅黑" w:eastAsia="微软雅黑"/>
          <w:b/>
          <w:sz w:val="24"/>
          <w:szCs w:val="24"/>
        </w:rPr>
        <w:t xml:space="preserve"> </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案例：XX地产公司技术标准1</w:t>
      </w:r>
      <w:r>
        <w:rPr>
          <w:rFonts w:ascii="微软雅黑" w:hAnsi="微软雅黑" w:eastAsia="微软雅黑"/>
          <w:b/>
          <w:sz w:val="24"/>
          <w:szCs w:val="24"/>
        </w:rPr>
        <w:t>47</w:t>
      </w:r>
      <w:r>
        <w:rPr>
          <w:rFonts w:hint="eastAsia" w:ascii="微软雅黑" w:hAnsi="微软雅黑" w:eastAsia="微软雅黑"/>
          <w:b/>
          <w:sz w:val="24"/>
          <w:szCs w:val="24"/>
        </w:rPr>
        <w:t>类分类分项示例</w:t>
      </w:r>
    </w:p>
    <w:p>
      <w:pPr>
        <w:pStyle w:val="13"/>
        <w:numPr>
          <w:ilvl w:val="0"/>
          <w:numId w:val="4"/>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案例：XX地产公司管理要求五种通用条款示例</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案例：标杆企业标准化承包供方评标报告示例</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案例：技术评标检查执行单示例</w:t>
      </w:r>
    </w:p>
    <w:p>
      <w:pPr>
        <w:pStyle w:val="13"/>
        <w:numPr>
          <w:ilvl w:val="2"/>
          <w:numId w:val="1"/>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例题：供方技术管理标评标定标问题例题分析</w:t>
      </w:r>
    </w:p>
    <w:p>
      <w:pPr>
        <w:pStyle w:val="13"/>
        <w:numPr>
          <w:ilvl w:val="0"/>
          <w:numId w:val="5"/>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供方样板策划管理；设计体验、材料部品、施工工艺和交付标准样板间类别和作用；</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案例：XX项目四个样板间平面布置图示例；</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案例：XX项目四</w:t>
      </w:r>
      <w:r>
        <w:rPr>
          <w:rFonts w:hint="eastAsia" w:ascii="微软雅黑" w:hAnsi="微软雅黑" w:eastAsia="微软雅黑"/>
          <w:b/>
          <w:bCs/>
          <w:sz w:val="24"/>
          <w:szCs w:val="24"/>
        </w:rPr>
        <w:t>个样板间策划实施管控示例</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例题：四个样板间策划实施问题例题分析</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hint="eastAsia" w:ascii="微软雅黑" w:hAnsi="微软雅黑" w:eastAsia="微软雅黑"/>
          <w:b/>
          <w:bCs/>
          <w:sz w:val="24"/>
          <w:szCs w:val="24"/>
        </w:rPr>
        <w:t>材料部品样板间(搭建标准货架/样品清单)示例；</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bCs/>
          <w:sz w:val="24"/>
          <w:szCs w:val="24"/>
        </w:rPr>
        <w:t>案例：施工工艺样板间（搭建标准/工艺标准）示例</w:t>
      </w:r>
    </w:p>
    <w:p>
      <w:pPr>
        <w:pStyle w:val="13"/>
        <w:numPr>
          <w:ilvl w:val="0"/>
          <w:numId w:val="4"/>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案例：交付标准（毛坯/精装）交付标准样板间示例</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供方采购成本策划要点总结；</w:t>
      </w:r>
      <w:r>
        <w:rPr>
          <w:rFonts w:hint="eastAsia" w:ascii="微软雅黑" w:hAnsi="微软雅黑" w:eastAsia="微软雅黑"/>
          <w:b/>
          <w:bCs/>
          <w:sz w:val="24"/>
          <w:szCs w:val="24"/>
        </w:rPr>
        <w:t>目标成本限额设计</w:t>
      </w:r>
      <w:r>
        <w:rPr>
          <w:rFonts w:hint="eastAsia" w:ascii="微软雅黑" w:hAnsi="微软雅黑" w:eastAsia="微软雅黑"/>
          <w:b/>
          <w:sz w:val="24"/>
          <w:szCs w:val="24"/>
        </w:rPr>
        <w:t>/</w:t>
      </w:r>
      <w:r>
        <w:rPr>
          <w:rFonts w:hint="eastAsia" w:ascii="微软雅黑" w:hAnsi="微软雅黑" w:eastAsia="微软雅黑"/>
          <w:b/>
          <w:bCs/>
          <w:sz w:val="24"/>
        </w:rPr>
        <w:t>成本有效投放/成本不均衡投放/合同管理标准化/企业标准强制化/供方管理一体化/供方评标参数化/四个样板间先行/</w:t>
      </w:r>
      <w:r>
        <w:rPr>
          <w:rFonts w:hint="eastAsia" w:ascii="微软雅黑" w:hAnsi="微软雅黑" w:eastAsia="微软雅黑"/>
          <w:b/>
          <w:sz w:val="24"/>
          <w:szCs w:val="24"/>
        </w:rPr>
        <w:t>索赔风险预防；</w:t>
      </w:r>
    </w:p>
    <w:p>
      <w:pPr>
        <w:pStyle w:val="13"/>
        <w:numPr>
          <w:ilvl w:val="0"/>
          <w:numId w:val="5"/>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分组讨论</w:t>
      </w:r>
      <w:r>
        <w:rPr>
          <w:rFonts w:ascii="微软雅黑" w:hAnsi="微软雅黑" w:eastAsia="微软雅黑"/>
          <w:b/>
          <w:sz w:val="24"/>
          <w:szCs w:val="24"/>
        </w:rPr>
        <w:t>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第四部分：供方采购谈判管控的五大环节及施工图审查的关键要领与案例分析</w:t>
      </w:r>
    </w:p>
    <w:p>
      <w:pPr>
        <w:pStyle w:val="13"/>
        <w:numPr>
          <w:ilvl w:val="0"/>
          <w:numId w:val="6"/>
        </w:numPr>
        <w:ind w:firstLineChars="0"/>
        <w:jc w:val="left"/>
        <w:rPr>
          <w:rFonts w:ascii="微软雅黑" w:hAnsi="微软雅黑" w:eastAsia="微软雅黑"/>
          <w:b/>
          <w:sz w:val="24"/>
          <w:szCs w:val="24"/>
        </w:rPr>
      </w:pPr>
      <w:r>
        <w:rPr>
          <w:rFonts w:hint="eastAsia" w:ascii="微软雅黑" w:hAnsi="微软雅黑" w:eastAsia="微软雅黑"/>
          <w:b/>
          <w:sz w:val="24"/>
          <w:szCs w:val="24"/>
        </w:rPr>
        <w:t>战略合作谈判；供方合作模式分析；获取谈判对手情报策略；基于共赢的采购合作谈判；</w:t>
      </w:r>
      <w:r>
        <w:rPr>
          <w:rFonts w:ascii="微软雅黑" w:hAnsi="微软雅黑" w:eastAsia="微软雅黑"/>
          <w:b/>
          <w:sz w:val="24"/>
          <w:szCs w:val="24"/>
        </w:rPr>
        <w:t xml:space="preserve"> </w:t>
      </w:r>
    </w:p>
    <w:p>
      <w:pPr>
        <w:pStyle w:val="13"/>
        <w:numPr>
          <w:ilvl w:val="0"/>
          <w:numId w:val="6"/>
        </w:numPr>
        <w:ind w:firstLineChars="0"/>
        <w:jc w:val="left"/>
        <w:rPr>
          <w:rFonts w:hint="eastAsia" w:ascii="微软雅黑" w:hAnsi="微软雅黑" w:eastAsia="微软雅黑"/>
          <w:b/>
          <w:sz w:val="24"/>
          <w:szCs w:val="24"/>
        </w:rPr>
      </w:pPr>
      <w:r>
        <w:rPr>
          <w:rFonts w:hint="eastAsia" w:ascii="微软雅黑" w:hAnsi="微软雅黑" w:eastAsia="微软雅黑"/>
          <w:b/>
          <w:bCs/>
          <w:sz w:val="24"/>
          <w:szCs w:val="24"/>
        </w:rPr>
        <w:t>有效谈判实施步骤</w:t>
      </w:r>
      <w:r>
        <w:rPr>
          <w:rFonts w:hint="eastAsia" w:ascii="微软雅黑" w:hAnsi="微软雅黑" w:eastAsia="微软雅黑"/>
          <w:b/>
          <w:sz w:val="24"/>
          <w:szCs w:val="24"/>
        </w:rPr>
        <w:t>；以产品质量为合作目标，以成本为核心的询价；</w:t>
      </w:r>
      <w:r>
        <w:rPr>
          <w:rFonts w:ascii="微软雅黑" w:hAnsi="微软雅黑" w:eastAsia="微软雅黑"/>
          <w:b/>
          <w:sz w:val="24"/>
          <w:szCs w:val="24"/>
        </w:rPr>
        <w:t>讨价的策略</w:t>
      </w:r>
      <w:r>
        <w:rPr>
          <w:rFonts w:hint="eastAsia" w:ascii="微软雅黑" w:hAnsi="微软雅黑" w:eastAsia="微软雅黑"/>
          <w:b/>
          <w:sz w:val="24"/>
          <w:szCs w:val="24"/>
        </w:rPr>
        <w:t>；</w:t>
      </w:r>
      <w:r>
        <w:rPr>
          <w:rFonts w:ascii="微软雅黑" w:hAnsi="微软雅黑" w:eastAsia="微软雅黑"/>
          <w:b/>
          <w:sz w:val="24"/>
          <w:szCs w:val="24"/>
        </w:rPr>
        <w:t>还价的策略</w:t>
      </w:r>
      <w:r>
        <w:rPr>
          <w:rFonts w:hint="eastAsia" w:ascii="微软雅黑" w:hAnsi="微软雅黑" w:eastAsia="微软雅黑"/>
          <w:b/>
          <w:sz w:val="24"/>
          <w:szCs w:val="24"/>
        </w:rPr>
        <w:t>；</w:t>
      </w:r>
      <w:r>
        <w:rPr>
          <w:rFonts w:ascii="微软雅黑" w:hAnsi="微软雅黑" w:eastAsia="微软雅黑"/>
          <w:b/>
          <w:sz w:val="24"/>
          <w:szCs w:val="24"/>
        </w:rPr>
        <w:t>如何应对供应商</w:t>
      </w:r>
      <w:r>
        <w:rPr>
          <w:rFonts w:hint="eastAsia" w:ascii="微软雅黑" w:hAnsi="微软雅黑" w:eastAsia="微软雅黑"/>
          <w:b/>
          <w:sz w:val="24"/>
          <w:szCs w:val="24"/>
        </w:rPr>
        <w:t>进度滞后/品质降低/</w:t>
      </w:r>
      <w:r>
        <w:rPr>
          <w:rFonts w:ascii="微软雅黑" w:hAnsi="微软雅黑" w:eastAsia="微软雅黑"/>
          <w:b/>
          <w:sz w:val="24"/>
          <w:szCs w:val="24"/>
        </w:rPr>
        <w:t>强行涨价？</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例题：XX公司7</w:t>
      </w:r>
      <w:r>
        <w:rPr>
          <w:rFonts w:ascii="微软雅黑" w:hAnsi="微软雅黑" w:eastAsia="微软雅黑"/>
          <w:b/>
          <w:sz w:val="24"/>
          <w:szCs w:val="24"/>
        </w:rPr>
        <w:t>0</w:t>
      </w:r>
      <w:r>
        <w:rPr>
          <w:rFonts w:hint="eastAsia" w:ascii="微软雅黑" w:hAnsi="微软雅黑" w:eastAsia="微软雅黑"/>
          <w:b/>
          <w:sz w:val="24"/>
          <w:szCs w:val="24"/>
        </w:rPr>
        <w:t>年零渗漏战略合作协议谈判</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案例：XX公司提高砌筑工艺质量标准谈判</w:t>
      </w:r>
    </w:p>
    <w:p>
      <w:pPr>
        <w:pStyle w:val="13"/>
        <w:numPr>
          <w:ilvl w:val="0"/>
          <w:numId w:val="4"/>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案例：中城联盟集采降价谈判手段</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案例：XX地产公司如何协调供方铝合金门窗安装</w:t>
      </w:r>
    </w:p>
    <w:p>
      <w:pPr>
        <w:pStyle w:val="13"/>
        <w:numPr>
          <w:ilvl w:val="0"/>
          <w:numId w:val="6"/>
        </w:numPr>
        <w:ind w:firstLineChars="0"/>
        <w:jc w:val="left"/>
        <w:rPr>
          <w:rFonts w:ascii="微软雅黑" w:hAnsi="微软雅黑" w:eastAsia="微软雅黑"/>
          <w:b/>
          <w:sz w:val="24"/>
          <w:szCs w:val="24"/>
        </w:rPr>
      </w:pPr>
      <w:r>
        <w:rPr>
          <w:rFonts w:hint="eastAsia" w:ascii="微软雅黑" w:hAnsi="微软雅黑" w:eastAsia="微软雅黑"/>
          <w:b/>
          <w:bCs/>
          <w:sz w:val="24"/>
          <w:szCs w:val="24"/>
        </w:rPr>
        <w:t>“谈判”双方优劣势分析和利用；</w:t>
      </w:r>
      <w:r>
        <w:rPr>
          <w:rFonts w:hint="eastAsia" w:ascii="微软雅黑" w:hAnsi="微软雅黑" w:eastAsia="微软雅黑"/>
          <w:b/>
          <w:sz w:val="24"/>
          <w:szCs w:val="24"/>
        </w:rPr>
        <w:t>谈判场地和时间进程预控策略；不平衡报价与成本控制策略；</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hint="eastAsia" w:ascii="微软雅黑" w:hAnsi="微软雅黑" w:eastAsia="微软雅黑"/>
          <w:b/>
          <w:bCs/>
          <w:sz w:val="24"/>
          <w:szCs w:val="24"/>
        </w:rPr>
        <w:t>某标杆地产门窗报价进程预控谈判例题</w:t>
      </w:r>
    </w:p>
    <w:p>
      <w:pPr>
        <w:pStyle w:val="13"/>
        <w:numPr>
          <w:ilvl w:val="0"/>
          <w:numId w:val="4"/>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例题：XX地产公司项目采购开关模拟清单报价的成本转移案例分析；</w:t>
      </w:r>
    </w:p>
    <w:p>
      <w:pPr>
        <w:pStyle w:val="13"/>
        <w:numPr>
          <w:ilvl w:val="0"/>
          <w:numId w:val="6"/>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“谈判”风格的衡量维度；影响“谈判”效果的行为风格；如何迅速掌握供方真实销售心理；如何快速改善合作关系的有效途径（同理心）；</w:t>
      </w:r>
    </w:p>
    <w:p>
      <w:pPr>
        <w:pStyle w:val="13"/>
        <w:numPr>
          <w:ilvl w:val="0"/>
          <w:numId w:val="4"/>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案例：XX项目一瓶牛二=100万现金嘉奖；</w:t>
      </w:r>
    </w:p>
    <w:p>
      <w:pPr>
        <w:pStyle w:val="13"/>
        <w:numPr>
          <w:ilvl w:val="0"/>
          <w:numId w:val="4"/>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案例：某项目结构闭水试验沟通；</w:t>
      </w:r>
    </w:p>
    <w:p>
      <w:pPr>
        <w:pStyle w:val="13"/>
        <w:numPr>
          <w:ilvl w:val="0"/>
          <w:numId w:val="6"/>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双向“谈判”的技巧；倾听；发问；答复；说服对方的要领（不要指望能说服对方；）</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案例：XX项目总包打砸售楼处原因分析</w:t>
      </w:r>
    </w:p>
    <w:p>
      <w:pPr>
        <w:pStyle w:val="13"/>
        <w:numPr>
          <w:ilvl w:val="0"/>
          <w:numId w:val="6"/>
        </w:numPr>
        <w:ind w:firstLineChars="0"/>
        <w:jc w:val="left"/>
        <w:rPr>
          <w:rFonts w:ascii="微软雅黑" w:hAnsi="微软雅黑" w:eastAsia="微软雅黑"/>
          <w:b/>
          <w:sz w:val="24"/>
          <w:szCs w:val="24"/>
        </w:rPr>
      </w:pPr>
      <w:r>
        <w:rPr>
          <w:rFonts w:hint="eastAsia" w:ascii="微软雅黑" w:hAnsi="微软雅黑" w:eastAsia="微软雅黑"/>
          <w:b/>
          <w:sz w:val="24"/>
          <w:szCs w:val="24"/>
        </w:rPr>
        <w:t>供方采购谈判</w:t>
      </w:r>
      <w:r>
        <w:rPr>
          <w:rFonts w:ascii="微软雅黑" w:hAnsi="微软雅黑" w:eastAsia="微软雅黑"/>
          <w:b/>
          <w:sz w:val="24"/>
          <w:szCs w:val="24"/>
        </w:rPr>
        <w:t>管控要点</w:t>
      </w:r>
      <w:r>
        <w:rPr>
          <w:rFonts w:hint="eastAsia" w:ascii="微软雅黑" w:hAnsi="微软雅黑" w:eastAsia="微软雅黑"/>
          <w:b/>
          <w:sz w:val="24"/>
          <w:szCs w:val="24"/>
        </w:rPr>
        <w:t>总结</w:t>
      </w:r>
      <w:r>
        <w:rPr>
          <w:rFonts w:ascii="微软雅黑" w:hAnsi="微软雅黑" w:eastAsia="微软雅黑"/>
          <w:b/>
          <w:sz w:val="24"/>
          <w:szCs w:val="24"/>
        </w:rPr>
        <w:t xml:space="preserve">： </w:t>
      </w:r>
    </w:p>
    <w:p>
      <w:pPr>
        <w:pStyle w:val="13"/>
        <w:numPr>
          <w:ilvl w:val="0"/>
          <w:numId w:val="6"/>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分组</w:t>
      </w:r>
      <w:r>
        <w:rPr>
          <w:rFonts w:ascii="微软雅黑" w:hAnsi="微软雅黑" w:eastAsia="微软雅黑"/>
          <w:b/>
          <w:sz w:val="24"/>
          <w:szCs w:val="24"/>
        </w:rPr>
        <w:t>讨论与交流</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第五部分：供方技术文件及合同清单项管控的六大环节及施工图审查的关键要领与案例分析</w:t>
      </w:r>
    </w:p>
    <w:p>
      <w:pPr>
        <w:pStyle w:val="13"/>
        <w:numPr>
          <w:ilvl w:val="0"/>
          <w:numId w:val="7"/>
        </w:numPr>
        <w:ind w:firstLineChars="0"/>
        <w:jc w:val="left"/>
        <w:rPr>
          <w:rFonts w:ascii="微软雅黑" w:hAnsi="微软雅黑" w:eastAsia="微软雅黑"/>
          <w:b/>
          <w:sz w:val="24"/>
          <w:szCs w:val="24"/>
        </w:rPr>
      </w:pPr>
      <w:r>
        <w:rPr>
          <w:rFonts w:hint="eastAsia" w:ascii="微软雅黑" w:hAnsi="微软雅黑" w:eastAsia="微软雅黑"/>
          <w:b/>
          <w:sz w:val="24"/>
          <w:szCs w:val="24"/>
        </w:rPr>
        <w:t>供方四图</w:t>
      </w:r>
      <w:r>
        <w:rPr>
          <w:rFonts w:ascii="微软雅黑" w:hAnsi="微软雅黑" w:eastAsia="微软雅黑"/>
          <w:b/>
          <w:sz w:val="24"/>
          <w:szCs w:val="24"/>
        </w:rPr>
        <w:t>策划</w:t>
      </w:r>
      <w:r>
        <w:rPr>
          <w:rFonts w:hint="eastAsia" w:ascii="微软雅黑" w:hAnsi="微软雅黑" w:eastAsia="微软雅黑"/>
          <w:b/>
          <w:sz w:val="24"/>
          <w:szCs w:val="24"/>
        </w:rPr>
        <w:t>先行</w:t>
      </w:r>
      <w:r>
        <w:rPr>
          <w:rFonts w:ascii="微软雅黑" w:hAnsi="微软雅黑" w:eastAsia="微软雅黑"/>
          <w:b/>
          <w:sz w:val="24"/>
          <w:szCs w:val="24"/>
        </w:rPr>
        <w:t>：深化设计图</w:t>
      </w:r>
      <w:r>
        <w:rPr>
          <w:rFonts w:hint="eastAsia" w:ascii="微软雅黑" w:hAnsi="微软雅黑" w:eastAsia="微软雅黑"/>
          <w:b/>
          <w:sz w:val="24"/>
          <w:szCs w:val="24"/>
        </w:rPr>
        <w:t>/生产</w:t>
      </w:r>
      <w:r>
        <w:rPr>
          <w:rFonts w:ascii="微软雅黑" w:hAnsi="微软雅黑" w:eastAsia="微软雅黑"/>
          <w:b/>
          <w:sz w:val="24"/>
          <w:szCs w:val="24"/>
        </w:rPr>
        <w:t>加工图</w:t>
      </w:r>
      <w:r>
        <w:rPr>
          <w:rFonts w:hint="eastAsia" w:ascii="微软雅黑" w:hAnsi="微软雅黑" w:eastAsia="微软雅黑"/>
          <w:b/>
          <w:sz w:val="24"/>
          <w:szCs w:val="24"/>
        </w:rPr>
        <w:t>/现场</w:t>
      </w:r>
      <w:r>
        <w:rPr>
          <w:rFonts w:ascii="微软雅黑" w:hAnsi="微软雅黑" w:eastAsia="微软雅黑"/>
          <w:b/>
          <w:sz w:val="24"/>
          <w:szCs w:val="24"/>
        </w:rPr>
        <w:t>安装图</w:t>
      </w:r>
      <w:r>
        <w:rPr>
          <w:rFonts w:hint="eastAsia" w:ascii="微软雅黑" w:hAnsi="微软雅黑" w:eastAsia="微软雅黑"/>
          <w:b/>
          <w:sz w:val="24"/>
          <w:szCs w:val="24"/>
        </w:rPr>
        <w:t>/成品</w:t>
      </w:r>
      <w:r>
        <w:rPr>
          <w:rFonts w:ascii="微软雅黑" w:hAnsi="微软雅黑" w:eastAsia="微软雅黑"/>
          <w:b/>
          <w:sz w:val="24"/>
          <w:szCs w:val="24"/>
        </w:rPr>
        <w:t>保护图</w:t>
      </w:r>
      <w:r>
        <w:rPr>
          <w:rFonts w:hint="eastAsia" w:ascii="微软雅黑" w:hAnsi="微软雅黑" w:eastAsia="微软雅黑"/>
          <w:b/>
          <w:sz w:val="24"/>
          <w:szCs w:val="24"/>
        </w:rPr>
        <w:t>；提报和确认时间；</w:t>
      </w:r>
    </w:p>
    <w:p>
      <w:pPr>
        <w:pStyle w:val="13"/>
        <w:numPr>
          <w:ilvl w:val="2"/>
          <w:numId w:val="1"/>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案例：现场四图管理缺失案例</w:t>
      </w:r>
    </w:p>
    <w:p>
      <w:pPr>
        <w:pStyle w:val="13"/>
        <w:numPr>
          <w:ilvl w:val="2"/>
          <w:numId w:val="1"/>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例题</w:t>
      </w:r>
      <w:r>
        <w:rPr>
          <w:rFonts w:ascii="微软雅黑" w:hAnsi="微软雅黑" w:eastAsia="微软雅黑" w:cs="微软雅黑"/>
          <w:b/>
          <w:sz w:val="24"/>
        </w:rPr>
        <w:t>：</w:t>
      </w:r>
      <w:r>
        <w:rPr>
          <w:rFonts w:hint="eastAsia" w:ascii="微软雅黑" w:hAnsi="微软雅黑" w:eastAsia="微软雅黑" w:cs="微软雅黑"/>
          <w:b/>
          <w:bCs/>
          <w:sz w:val="24"/>
        </w:rPr>
        <w:t>工程四图执行例题</w:t>
      </w:r>
    </w:p>
    <w:p>
      <w:pPr>
        <w:pStyle w:val="13"/>
        <w:numPr>
          <w:ilvl w:val="0"/>
          <w:numId w:val="7"/>
        </w:numPr>
        <w:ind w:firstLineChars="0"/>
        <w:jc w:val="left"/>
        <w:rPr>
          <w:rFonts w:ascii="微软雅黑" w:hAnsi="微软雅黑" w:eastAsia="微软雅黑"/>
          <w:b/>
          <w:sz w:val="24"/>
          <w:szCs w:val="24"/>
        </w:rPr>
      </w:pPr>
      <w:r>
        <w:rPr>
          <w:rFonts w:hint="eastAsia" w:ascii="微软雅黑" w:hAnsi="微软雅黑" w:eastAsia="微软雅黑"/>
          <w:b/>
          <w:sz w:val="24"/>
          <w:szCs w:val="24"/>
        </w:rPr>
        <w:t>供方合约技术文件</w:t>
      </w:r>
      <w:r>
        <w:rPr>
          <w:rFonts w:ascii="微软雅黑" w:hAnsi="微软雅黑" w:eastAsia="微软雅黑"/>
          <w:b/>
          <w:sz w:val="24"/>
          <w:szCs w:val="24"/>
        </w:rPr>
        <w:t>交底目的</w:t>
      </w:r>
      <w:r>
        <w:rPr>
          <w:rFonts w:hint="eastAsia" w:ascii="微软雅黑" w:hAnsi="微软雅黑" w:eastAsia="微软雅黑"/>
          <w:b/>
          <w:sz w:val="24"/>
          <w:szCs w:val="24"/>
        </w:rPr>
        <w:t>：加强掌握产品标准和管理要求/加强专业间学习、协同/提升员工能力素质/提升工程管理水平</w:t>
      </w:r>
    </w:p>
    <w:p>
      <w:pPr>
        <w:pStyle w:val="13"/>
        <w:numPr>
          <w:ilvl w:val="1"/>
          <w:numId w:val="8"/>
        </w:numPr>
        <w:ind w:left="1418" w:hanging="567" w:firstLineChars="0"/>
        <w:jc w:val="left"/>
        <w:rPr>
          <w:rFonts w:hint="eastAsia" w:ascii="微软雅黑" w:hAnsi="微软雅黑" w:eastAsia="微软雅黑"/>
          <w:b/>
          <w:bCs/>
          <w:sz w:val="24"/>
          <w:szCs w:val="24"/>
        </w:rPr>
      </w:pPr>
      <w:r>
        <w:rPr>
          <w:rFonts w:hint="eastAsia" w:ascii="微软雅黑" w:hAnsi="微软雅黑" w:eastAsia="微软雅黑"/>
          <w:b/>
          <w:sz w:val="24"/>
          <w:szCs w:val="24"/>
        </w:rPr>
        <w:t>供方合约技术文件交底</w:t>
      </w:r>
      <w:r>
        <w:rPr>
          <w:rFonts w:ascii="微软雅黑" w:hAnsi="微软雅黑" w:eastAsia="微软雅黑"/>
          <w:b/>
          <w:sz w:val="24"/>
          <w:szCs w:val="24"/>
        </w:rPr>
        <w:t>会议</w:t>
      </w:r>
      <w:r>
        <w:rPr>
          <w:rFonts w:hint="eastAsia" w:ascii="微软雅黑" w:hAnsi="微软雅黑" w:eastAsia="微软雅黑"/>
          <w:b/>
          <w:sz w:val="24"/>
          <w:szCs w:val="24"/>
        </w:rPr>
        <w:t>内容：</w:t>
      </w:r>
      <w:r>
        <w:rPr>
          <w:rFonts w:hint="eastAsia" w:ascii="微软雅黑" w:hAnsi="微软雅黑" w:eastAsia="微软雅黑"/>
          <w:b/>
          <w:bCs/>
          <w:sz w:val="24"/>
          <w:szCs w:val="24"/>
        </w:rPr>
        <w:t>工程管理策划/缺陷反馈图集/</w:t>
      </w:r>
      <w:r>
        <w:rPr>
          <w:rFonts w:hint="eastAsia" w:ascii="微软雅黑" w:hAnsi="微软雅黑" w:eastAsia="微软雅黑"/>
          <w:b/>
          <w:bCs/>
          <w:sz w:val="24"/>
        </w:rPr>
        <w:t>标准化施工图集</w:t>
      </w:r>
      <w:r>
        <w:rPr>
          <w:rFonts w:hint="eastAsia" w:ascii="微软雅黑" w:hAnsi="微软雅黑" w:eastAsia="微软雅黑"/>
          <w:b/>
          <w:bCs/>
          <w:sz w:val="24"/>
          <w:szCs w:val="24"/>
        </w:rPr>
        <w:t>/技术标准</w:t>
      </w:r>
      <w:r>
        <w:rPr>
          <w:rFonts w:hint="eastAsia" w:ascii="微软雅黑" w:hAnsi="微软雅黑" w:eastAsia="微软雅黑"/>
          <w:b/>
          <w:bCs/>
          <w:sz w:val="24"/>
        </w:rPr>
        <w:t>管理要求，总分包合同条款/质量、进度、成本控制流程和标准/</w:t>
      </w:r>
      <w:r>
        <w:rPr>
          <w:rFonts w:hint="eastAsia" w:ascii="微软雅黑" w:hAnsi="微软雅黑" w:eastAsia="微软雅黑"/>
          <w:b/>
          <w:bCs/>
          <w:sz w:val="24"/>
          <w:szCs w:val="24"/>
        </w:rPr>
        <w:t>安全文明施工管理流程和标准/设计图纸</w:t>
      </w:r>
      <w:r>
        <w:rPr>
          <w:rFonts w:hint="eastAsia" w:ascii="微软雅黑" w:hAnsi="微软雅黑" w:eastAsia="微软雅黑"/>
          <w:b/>
          <w:bCs/>
          <w:sz w:val="24"/>
        </w:rPr>
        <w:t>深化四图</w:t>
      </w:r>
    </w:p>
    <w:p>
      <w:pPr>
        <w:pStyle w:val="13"/>
        <w:numPr>
          <w:ilvl w:val="1"/>
          <w:numId w:val="8"/>
        </w:numPr>
        <w:ind w:left="1418" w:hanging="567" w:firstLineChars="0"/>
        <w:jc w:val="left"/>
        <w:rPr>
          <w:rFonts w:ascii="微软雅黑" w:hAnsi="微软雅黑" w:eastAsia="微软雅黑"/>
          <w:b/>
          <w:sz w:val="24"/>
          <w:szCs w:val="24"/>
        </w:rPr>
      </w:pPr>
      <w:r>
        <w:rPr>
          <w:rFonts w:hint="eastAsia" w:ascii="微软雅黑" w:hAnsi="微软雅黑" w:eastAsia="微软雅黑"/>
          <w:b/>
          <w:sz w:val="24"/>
          <w:szCs w:val="24"/>
        </w:rPr>
        <w:t>供方工程</w:t>
      </w:r>
      <w:r>
        <w:rPr>
          <w:rFonts w:ascii="微软雅黑" w:hAnsi="微软雅黑" w:eastAsia="微软雅黑"/>
          <w:b/>
          <w:sz w:val="24"/>
          <w:szCs w:val="24"/>
        </w:rPr>
        <w:t>技术设计交底和图审会议要点：设计交底</w:t>
      </w:r>
      <w:r>
        <w:rPr>
          <w:rFonts w:hint="eastAsia" w:ascii="微软雅黑" w:hAnsi="微软雅黑" w:eastAsia="微软雅黑"/>
          <w:b/>
          <w:sz w:val="24"/>
          <w:szCs w:val="24"/>
        </w:rPr>
        <w:t>4个</w:t>
      </w:r>
      <w:r>
        <w:rPr>
          <w:rFonts w:ascii="微软雅黑" w:hAnsi="微软雅黑" w:eastAsia="微软雅黑"/>
          <w:b/>
          <w:sz w:val="24"/>
          <w:szCs w:val="24"/>
        </w:rPr>
        <w:t>关键要点</w:t>
      </w:r>
      <w:r>
        <w:rPr>
          <w:rFonts w:hint="eastAsia" w:ascii="微软雅黑" w:hAnsi="微软雅黑" w:eastAsia="微软雅黑"/>
          <w:b/>
          <w:sz w:val="24"/>
          <w:szCs w:val="24"/>
        </w:rPr>
        <w:t>，</w:t>
      </w:r>
      <w:r>
        <w:rPr>
          <w:rFonts w:ascii="微软雅黑" w:hAnsi="微软雅黑" w:eastAsia="微软雅黑"/>
          <w:b/>
          <w:sz w:val="24"/>
          <w:szCs w:val="24"/>
        </w:rPr>
        <w:t>PDCA；图纸审查5</w:t>
      </w:r>
      <w:r>
        <w:rPr>
          <w:rFonts w:hint="eastAsia" w:ascii="微软雅黑" w:hAnsi="微软雅黑" w:eastAsia="微软雅黑"/>
          <w:b/>
          <w:sz w:val="24"/>
          <w:szCs w:val="24"/>
        </w:rPr>
        <w:t>个</w:t>
      </w:r>
      <w:r>
        <w:rPr>
          <w:rFonts w:ascii="微软雅黑" w:hAnsi="微软雅黑" w:eastAsia="微软雅黑"/>
          <w:b/>
          <w:sz w:val="24"/>
          <w:szCs w:val="24"/>
        </w:rPr>
        <w:t>关键阶段：可研阶段</w:t>
      </w:r>
      <w:r>
        <w:rPr>
          <w:rFonts w:hint="eastAsia" w:ascii="微软雅黑" w:hAnsi="微软雅黑" w:eastAsia="微软雅黑"/>
          <w:b/>
          <w:sz w:val="24"/>
          <w:szCs w:val="24"/>
        </w:rPr>
        <w:t>/前期</w:t>
      </w:r>
      <w:r>
        <w:rPr>
          <w:rFonts w:ascii="微软雅黑" w:hAnsi="微软雅黑" w:eastAsia="微软雅黑"/>
          <w:b/>
          <w:sz w:val="24"/>
          <w:szCs w:val="24"/>
        </w:rPr>
        <w:t>阶段</w:t>
      </w:r>
      <w:r>
        <w:rPr>
          <w:rFonts w:hint="eastAsia" w:ascii="微软雅黑" w:hAnsi="微软雅黑" w:eastAsia="微软雅黑"/>
          <w:b/>
          <w:sz w:val="24"/>
          <w:szCs w:val="24"/>
        </w:rPr>
        <w:t>/开发</w:t>
      </w:r>
      <w:r>
        <w:rPr>
          <w:rFonts w:ascii="微软雅黑" w:hAnsi="微软雅黑" w:eastAsia="微软雅黑"/>
          <w:b/>
          <w:sz w:val="24"/>
          <w:szCs w:val="24"/>
        </w:rPr>
        <w:t>阶段</w:t>
      </w:r>
      <w:r>
        <w:rPr>
          <w:rFonts w:hint="eastAsia" w:ascii="微软雅黑" w:hAnsi="微软雅黑" w:eastAsia="微软雅黑"/>
          <w:b/>
          <w:sz w:val="24"/>
          <w:szCs w:val="24"/>
        </w:rPr>
        <w:t>/实楼</w:t>
      </w:r>
      <w:r>
        <w:rPr>
          <w:rFonts w:ascii="微软雅黑" w:hAnsi="微软雅黑" w:eastAsia="微软雅黑"/>
          <w:b/>
          <w:sz w:val="24"/>
          <w:szCs w:val="24"/>
        </w:rPr>
        <w:t>样板间施工前</w:t>
      </w:r>
      <w:r>
        <w:rPr>
          <w:rFonts w:hint="eastAsia" w:ascii="微软雅黑" w:hAnsi="微软雅黑" w:eastAsia="微软雅黑"/>
          <w:b/>
          <w:sz w:val="24"/>
          <w:szCs w:val="24"/>
        </w:rPr>
        <w:t>/使用</w:t>
      </w:r>
      <w:r>
        <w:rPr>
          <w:rFonts w:ascii="微软雅黑" w:hAnsi="微软雅黑" w:eastAsia="微软雅黑"/>
          <w:b/>
          <w:sz w:val="24"/>
          <w:szCs w:val="24"/>
        </w:rPr>
        <w:t>阶段</w:t>
      </w:r>
    </w:p>
    <w:p>
      <w:pPr>
        <w:pStyle w:val="13"/>
        <w:numPr>
          <w:ilvl w:val="0"/>
          <w:numId w:val="9"/>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工程技术设计交底会议缺失图审案例</w:t>
      </w:r>
    </w:p>
    <w:p>
      <w:pPr>
        <w:pStyle w:val="13"/>
        <w:numPr>
          <w:ilvl w:val="1"/>
          <w:numId w:val="8"/>
        </w:numPr>
        <w:ind w:left="1418" w:hanging="567" w:firstLineChars="0"/>
        <w:jc w:val="left"/>
        <w:rPr>
          <w:rFonts w:ascii="微软雅黑" w:hAnsi="微软雅黑" w:eastAsia="微软雅黑"/>
          <w:b/>
          <w:sz w:val="24"/>
          <w:szCs w:val="24"/>
        </w:rPr>
      </w:pPr>
      <w:r>
        <w:rPr>
          <w:rFonts w:hint="eastAsia" w:ascii="微软雅黑" w:hAnsi="微软雅黑" w:eastAsia="微软雅黑"/>
          <w:b/>
          <w:sz w:val="24"/>
          <w:szCs w:val="24"/>
        </w:rPr>
        <w:t>供方工程管理</w:t>
      </w:r>
      <w:r>
        <w:rPr>
          <w:rFonts w:ascii="微软雅黑" w:hAnsi="微软雅黑" w:eastAsia="微软雅黑"/>
          <w:b/>
          <w:sz w:val="24"/>
          <w:szCs w:val="24"/>
        </w:rPr>
        <w:t>交底</w:t>
      </w:r>
      <w:r>
        <w:rPr>
          <w:rFonts w:hint="eastAsia" w:ascii="微软雅黑" w:hAnsi="微软雅黑" w:eastAsia="微软雅黑"/>
          <w:b/>
          <w:sz w:val="24"/>
          <w:szCs w:val="24"/>
        </w:rPr>
        <w:t>会议</w:t>
      </w:r>
      <w:r>
        <w:rPr>
          <w:rFonts w:ascii="微软雅黑" w:hAnsi="微软雅黑" w:eastAsia="微软雅黑"/>
          <w:b/>
          <w:sz w:val="24"/>
          <w:szCs w:val="24"/>
        </w:rPr>
        <w:t>内容</w:t>
      </w:r>
      <w:r>
        <w:rPr>
          <w:rFonts w:hint="eastAsia" w:ascii="微软雅黑" w:hAnsi="微软雅黑" w:eastAsia="微软雅黑"/>
          <w:b/>
          <w:sz w:val="24"/>
          <w:szCs w:val="24"/>
        </w:rPr>
        <w:t>： 明确本项目总包管理权责范围/明确本项目监理监督现场施工的权责范围/明确本项目总控计划管理要求/明确本项目总分包合约界面划分/明确本项目会议协调决策机制</w:t>
      </w:r>
    </w:p>
    <w:p>
      <w:pPr>
        <w:pStyle w:val="13"/>
        <w:numPr>
          <w:ilvl w:val="1"/>
          <w:numId w:val="8"/>
        </w:numPr>
        <w:ind w:left="1418" w:hanging="567" w:firstLineChars="0"/>
        <w:jc w:val="left"/>
        <w:rPr>
          <w:rFonts w:ascii="微软雅黑" w:hAnsi="微软雅黑" w:eastAsia="微软雅黑"/>
          <w:b/>
          <w:sz w:val="24"/>
          <w:szCs w:val="24"/>
        </w:rPr>
      </w:pPr>
      <w:r>
        <w:rPr>
          <w:rFonts w:hint="eastAsia" w:ascii="微软雅黑" w:hAnsi="微软雅黑" w:eastAsia="微软雅黑"/>
          <w:b/>
          <w:sz w:val="24"/>
          <w:szCs w:val="24"/>
        </w:rPr>
        <w:t>供方技术标准要求</w:t>
      </w:r>
      <w:r>
        <w:rPr>
          <w:rFonts w:ascii="微软雅黑" w:hAnsi="微软雅黑" w:eastAsia="微软雅黑"/>
          <w:b/>
          <w:sz w:val="24"/>
          <w:szCs w:val="24"/>
        </w:rPr>
        <w:t>交底</w:t>
      </w:r>
      <w:r>
        <w:rPr>
          <w:rFonts w:hint="eastAsia" w:ascii="微软雅黑" w:hAnsi="微软雅黑" w:eastAsia="微软雅黑"/>
          <w:b/>
          <w:sz w:val="24"/>
          <w:szCs w:val="24"/>
        </w:rPr>
        <w:t>会议</w:t>
      </w:r>
      <w:r>
        <w:rPr>
          <w:rFonts w:ascii="微软雅黑" w:hAnsi="微软雅黑" w:eastAsia="微软雅黑"/>
          <w:b/>
          <w:sz w:val="24"/>
          <w:szCs w:val="24"/>
        </w:rPr>
        <w:t>内容：</w:t>
      </w:r>
      <w:r>
        <w:rPr>
          <w:rFonts w:hint="eastAsia" w:ascii="微软雅黑" w:hAnsi="微软雅黑" w:eastAsia="微软雅黑"/>
          <w:b/>
          <w:sz w:val="24"/>
          <w:szCs w:val="24"/>
        </w:rPr>
        <w:t>本项目质量要求和目标/各单位的施工范围和部位/本项目指定采用的工艺流程及技术标准/本项目指定采用的验评标准/本项目指定采用的材料/本项目匹配的施工机具/本项目安全环境要求/本项目特殊工序工艺操作要点</w:t>
      </w:r>
    </w:p>
    <w:p>
      <w:pPr>
        <w:pStyle w:val="13"/>
        <w:numPr>
          <w:ilvl w:val="0"/>
          <w:numId w:val="9"/>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例题</w:t>
      </w:r>
      <w:r>
        <w:rPr>
          <w:rFonts w:ascii="微软雅黑" w:hAnsi="微软雅黑" w:eastAsia="微软雅黑"/>
          <w:b/>
          <w:bCs/>
          <w:sz w:val="24"/>
          <w:szCs w:val="24"/>
        </w:rPr>
        <w:t>：</w:t>
      </w:r>
      <w:r>
        <w:rPr>
          <w:rFonts w:hint="eastAsia" w:ascii="微软雅黑" w:hAnsi="微软雅黑" w:eastAsia="微软雅黑"/>
          <w:b/>
          <w:bCs/>
          <w:sz w:val="24"/>
          <w:szCs w:val="24"/>
        </w:rPr>
        <w:t>工程</w:t>
      </w:r>
      <w:r>
        <w:rPr>
          <w:rFonts w:ascii="微软雅黑" w:hAnsi="微软雅黑" w:eastAsia="微软雅黑"/>
          <w:b/>
          <w:bCs/>
          <w:sz w:val="24"/>
          <w:szCs w:val="24"/>
        </w:rPr>
        <w:t>技术施工交底会议缺失案例</w:t>
      </w:r>
    </w:p>
    <w:p>
      <w:pPr>
        <w:pStyle w:val="13"/>
        <w:numPr>
          <w:ilvl w:val="0"/>
          <w:numId w:val="7"/>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供方施工组织设计和方案审核重要性和必要性分析</w:t>
      </w:r>
    </w:p>
    <w:p>
      <w:pPr>
        <w:pStyle w:val="13"/>
        <w:numPr>
          <w:ilvl w:val="0"/>
          <w:numId w:val="9"/>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案例：XX地产公司工程施工组织设计和方案审核</w:t>
      </w:r>
    </w:p>
    <w:p>
      <w:pPr>
        <w:pStyle w:val="13"/>
        <w:numPr>
          <w:ilvl w:val="0"/>
          <w:numId w:val="7"/>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四个样板先行；锁死供方材料部品/施工工艺/交付标准三大技术文件及合同清单项在项目落地偏差；</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案例：某地产公司四个样板间实操案例；</w:t>
      </w:r>
    </w:p>
    <w:p>
      <w:pPr>
        <w:pStyle w:val="13"/>
        <w:numPr>
          <w:ilvl w:val="0"/>
          <w:numId w:val="7"/>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积极推动成本优化；确保质量标准/总价平衡/科目调配/优先核量/尽力保价；</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例题：XX项目雨水管线成本超限额成本优化案例分析</w:t>
      </w:r>
    </w:p>
    <w:p>
      <w:pPr>
        <w:pStyle w:val="13"/>
        <w:numPr>
          <w:ilvl w:val="0"/>
          <w:numId w:val="7"/>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供方技术</w:t>
      </w:r>
      <w:r>
        <w:rPr>
          <w:rFonts w:ascii="微软雅黑" w:hAnsi="微软雅黑" w:eastAsia="微软雅黑"/>
          <w:b/>
          <w:bCs/>
          <w:sz w:val="24"/>
          <w:szCs w:val="24"/>
        </w:rPr>
        <w:t>管控要点</w:t>
      </w:r>
      <w:r>
        <w:rPr>
          <w:rFonts w:hint="eastAsia" w:ascii="微软雅黑" w:hAnsi="微软雅黑" w:eastAsia="微软雅黑"/>
          <w:b/>
          <w:bCs/>
          <w:sz w:val="24"/>
          <w:szCs w:val="24"/>
        </w:rPr>
        <w:t>总结</w:t>
      </w:r>
      <w:r>
        <w:rPr>
          <w:rFonts w:ascii="微软雅黑" w:hAnsi="微软雅黑" w:eastAsia="微软雅黑"/>
          <w:b/>
          <w:bCs/>
          <w:sz w:val="24"/>
          <w:szCs w:val="24"/>
        </w:rPr>
        <w:t>：</w:t>
      </w:r>
      <w:r>
        <w:rPr>
          <w:rFonts w:hint="eastAsia" w:ascii="微软雅黑" w:hAnsi="微软雅黑" w:eastAsia="微软雅黑"/>
          <w:b/>
          <w:bCs/>
          <w:sz w:val="24"/>
          <w:szCs w:val="24"/>
        </w:rPr>
        <w:t>预控供方四图深化/高效召开工程会议/预控供方交底审图/确保施组方案一致/四个样板先行/积极推动成本优化；</w:t>
      </w:r>
    </w:p>
    <w:p>
      <w:pPr>
        <w:pStyle w:val="13"/>
        <w:numPr>
          <w:ilvl w:val="0"/>
          <w:numId w:val="7"/>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第六部分：供方施工现场过程管控七大对策及案例</w:t>
      </w:r>
    </w:p>
    <w:p>
      <w:pPr>
        <w:pStyle w:val="13"/>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供方索赔策略；不平衡报价/风险预防/深化设计/洽商签证/结算（偷工减料）；</w:t>
      </w:r>
    </w:p>
    <w:p>
      <w:pPr>
        <w:pStyle w:val="13"/>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甲方反索赔策划：战略合作/标准图集/深化四图/慎用罚款/零洽商</w:t>
      </w:r>
      <w:r>
        <w:rPr>
          <w:rFonts w:ascii="微软雅黑" w:hAnsi="微软雅黑" w:eastAsia="微软雅黑"/>
          <w:b/>
          <w:bCs/>
          <w:sz w:val="24"/>
          <w:szCs w:val="24"/>
        </w:rPr>
        <w:t>签证</w:t>
      </w:r>
      <w:r>
        <w:rPr>
          <w:rFonts w:hint="eastAsia" w:ascii="微软雅黑" w:hAnsi="微软雅黑" w:eastAsia="微软雅黑"/>
          <w:b/>
          <w:bCs/>
          <w:sz w:val="24"/>
          <w:szCs w:val="24"/>
        </w:rPr>
        <w:t>/验收结算/预扣工程款；</w:t>
      </w:r>
    </w:p>
    <w:p>
      <w:pPr>
        <w:pStyle w:val="13"/>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战略合作的反索赔策略；</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战略合作强化供方管控</w:t>
      </w:r>
      <w:r>
        <w:rPr>
          <w:rFonts w:ascii="微软雅黑" w:hAnsi="微软雅黑" w:eastAsia="微软雅黑"/>
          <w:b/>
          <w:sz w:val="24"/>
          <w:szCs w:val="24"/>
        </w:rPr>
        <w:t>案例分析</w:t>
      </w:r>
    </w:p>
    <w:p>
      <w:pPr>
        <w:pStyle w:val="13"/>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标准图集/深化设计的反索赔策略；</w:t>
      </w:r>
    </w:p>
    <w:p>
      <w:pPr>
        <w:pStyle w:val="13"/>
        <w:numPr>
          <w:ilvl w:val="0"/>
          <w:numId w:val="4"/>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深化设计总价包干</w:t>
      </w:r>
      <w:r>
        <w:rPr>
          <w:rFonts w:ascii="微软雅黑" w:hAnsi="微软雅黑" w:eastAsia="微软雅黑"/>
          <w:b/>
          <w:sz w:val="24"/>
          <w:szCs w:val="24"/>
        </w:rPr>
        <w:t>案例分析</w:t>
      </w:r>
      <w:r>
        <w:rPr>
          <w:rFonts w:hint="eastAsia" w:ascii="微软雅黑" w:hAnsi="微软雅黑" w:eastAsia="微软雅黑"/>
          <w:b/>
          <w:sz w:val="24"/>
          <w:szCs w:val="24"/>
        </w:rPr>
        <w:t>；</w:t>
      </w:r>
    </w:p>
    <w:p>
      <w:pPr>
        <w:pStyle w:val="13"/>
        <w:numPr>
          <w:ilvl w:val="0"/>
          <w:numId w:val="10"/>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慎用罚款的反索赔策略；</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案例：XX项目罚款单被拒收案例分析；</w:t>
      </w:r>
    </w:p>
    <w:p>
      <w:pPr>
        <w:pStyle w:val="13"/>
        <w:numPr>
          <w:ilvl w:val="0"/>
          <w:numId w:val="10"/>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零洽商签证的反索赔策略；</w:t>
      </w:r>
    </w:p>
    <w:p>
      <w:pPr>
        <w:pStyle w:val="13"/>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变更洽商</w:t>
      </w:r>
      <w:r>
        <w:rPr>
          <w:rFonts w:ascii="微软雅黑" w:hAnsi="微软雅黑" w:eastAsia="微软雅黑"/>
          <w:b/>
          <w:sz w:val="24"/>
          <w:szCs w:val="24"/>
        </w:rPr>
        <w:t>签证</w:t>
      </w:r>
      <w:r>
        <w:rPr>
          <w:rFonts w:hint="eastAsia" w:ascii="微软雅黑" w:hAnsi="微软雅黑" w:eastAsia="微软雅黑"/>
          <w:b/>
          <w:sz w:val="24"/>
          <w:szCs w:val="24"/>
        </w:rPr>
        <w:t>反索赔</w:t>
      </w:r>
      <w:r>
        <w:rPr>
          <w:rFonts w:ascii="微软雅黑" w:hAnsi="微软雅黑" w:eastAsia="微软雅黑"/>
          <w:b/>
          <w:sz w:val="24"/>
          <w:szCs w:val="24"/>
        </w:rPr>
        <w:t>案例分析</w:t>
      </w:r>
      <w:r>
        <w:rPr>
          <w:rFonts w:hint="eastAsia" w:ascii="微软雅黑" w:hAnsi="微软雅黑" w:eastAsia="微软雅黑"/>
          <w:b/>
          <w:sz w:val="24"/>
          <w:szCs w:val="24"/>
        </w:rPr>
        <w:t>；</w:t>
      </w:r>
    </w:p>
    <w:p>
      <w:pPr>
        <w:pStyle w:val="13"/>
        <w:numPr>
          <w:ilvl w:val="0"/>
          <w:numId w:val="10"/>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验收结算的管控策略；</w:t>
      </w:r>
    </w:p>
    <w:p>
      <w:pPr>
        <w:pStyle w:val="13"/>
        <w:numPr>
          <w:ilvl w:val="0"/>
          <w:numId w:val="4"/>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竣工验收单预扣工程款反索赔</w:t>
      </w:r>
      <w:r>
        <w:rPr>
          <w:rFonts w:ascii="微软雅黑" w:hAnsi="微软雅黑" w:eastAsia="微软雅黑"/>
          <w:b/>
          <w:sz w:val="24"/>
          <w:szCs w:val="24"/>
        </w:rPr>
        <w:t>案例分析</w:t>
      </w:r>
      <w:r>
        <w:rPr>
          <w:rFonts w:hint="eastAsia" w:ascii="微软雅黑" w:hAnsi="微软雅黑" w:eastAsia="微软雅黑"/>
          <w:b/>
          <w:sz w:val="24"/>
          <w:szCs w:val="24"/>
        </w:rPr>
        <w:t>；</w:t>
      </w:r>
    </w:p>
    <w:p>
      <w:pPr>
        <w:pStyle w:val="13"/>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供方施工现场管控总结：战略合作/标准图集/深化四图/慎用罚款/零洽商</w:t>
      </w:r>
      <w:r>
        <w:rPr>
          <w:rFonts w:ascii="微软雅黑" w:hAnsi="微软雅黑" w:eastAsia="微软雅黑"/>
          <w:b/>
          <w:bCs/>
          <w:sz w:val="24"/>
          <w:szCs w:val="24"/>
        </w:rPr>
        <w:t>签证</w:t>
      </w:r>
      <w:r>
        <w:rPr>
          <w:rFonts w:hint="eastAsia" w:ascii="微软雅黑" w:hAnsi="微软雅黑" w:eastAsia="微软雅黑"/>
          <w:b/>
          <w:bCs/>
          <w:sz w:val="24"/>
          <w:szCs w:val="24"/>
        </w:rPr>
        <w:t>/验收结算/预扣工程款；</w:t>
      </w:r>
    </w:p>
    <w:p>
      <w:pPr>
        <w:pStyle w:val="13"/>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pStyle w:val="13"/>
        <w:numPr>
          <w:ilvl w:val="0"/>
          <w:numId w:val="10"/>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课程学习总结；</w:t>
      </w:r>
    </w:p>
    <w:p>
      <w:pPr>
        <w:pStyle w:val="13"/>
        <w:ind w:left="1271" w:firstLine="0" w:firstLineChars="0"/>
        <w:jc w:val="left"/>
        <w:rPr>
          <w:rFonts w:hint="eastAsia" w:ascii="微软雅黑" w:hAnsi="微软雅黑" w:eastAsia="微软雅黑"/>
          <w:b/>
          <w:sz w:val="24"/>
          <w:szCs w:val="24"/>
        </w:rPr>
      </w:pP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cs="微软雅黑"/>
          <w:sz w:val="28"/>
          <w:szCs w:val="28"/>
        </w:rPr>
        <w:br w:type="page"/>
      </w:r>
      <w:r>
        <w:rPr>
          <w:rFonts w:ascii="微软雅黑" w:hAnsi="微软雅黑" w:eastAsia="微软雅黑" w:cs="宋体"/>
          <w:b/>
          <w:color w:val="404040"/>
          <w:spacing w:val="10"/>
          <w:szCs w:val="21"/>
          <w:lang/>
        </w:rPr>
        <w:drawing>
          <wp:inline distT="0" distB="0" distL="114300" distR="114300">
            <wp:extent cx="6199505" cy="394970"/>
            <wp:effectExtent l="0" t="0" r="3175" b="127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7"/>
                    <a:stretch>
                      <a:fillRect/>
                    </a:stretch>
                  </pic:blipFill>
                  <pic:spPr>
                    <a:xfrm>
                      <a:off x="0" y="0"/>
                      <a:ext cx="6199505" cy="394970"/>
                    </a:xfrm>
                    <a:prstGeom prst="rect">
                      <a:avLst/>
                    </a:prstGeom>
                    <a:noFill/>
                    <a:ln>
                      <a:noFill/>
                    </a:ln>
                  </pic:spPr>
                </pic:pic>
              </a:graphicData>
            </a:graphic>
          </wp:inline>
        </w:drawing>
      </w:r>
    </w:p>
    <w:p>
      <w:pPr>
        <w:adjustRightInd w:val="0"/>
        <w:snapToGrid w:val="0"/>
        <w:spacing w:line="288" w:lineRule="auto"/>
        <w:rPr>
          <w:rFonts w:ascii="微软雅黑" w:hAnsi="微软雅黑" w:eastAsia="微软雅黑" w:cs="宋体"/>
          <w:b/>
          <w:color w:val="404040"/>
          <w:spacing w:val="10"/>
          <w:szCs w:val="21"/>
        </w:rPr>
      </w:pPr>
    </w:p>
    <w:p>
      <w:pPr>
        <w:adjustRightInd w:val="0"/>
        <w:snapToGrid w:val="0"/>
        <w:spacing w:line="288" w:lineRule="auto"/>
        <w:rPr>
          <w:rFonts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11480"/>
            <wp:effectExtent l="0" t="0" r="0" b="0"/>
            <wp:docPr id="2"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职业背景"/>
                    <pic:cNvPicPr>
                      <a:picLocks noChangeAspect="1"/>
                    </pic:cNvPicPr>
                  </pic:nvPicPr>
                  <pic:blipFill>
                    <a:blip r:embed="rId8"/>
                    <a:stretch>
                      <a:fillRect/>
                    </a:stretch>
                  </pic:blipFill>
                  <pic:spPr>
                    <a:xfrm>
                      <a:off x="0" y="0"/>
                      <a:ext cx="6172200" cy="411480"/>
                    </a:xfrm>
                    <a:prstGeom prst="rect">
                      <a:avLst/>
                    </a:prstGeom>
                    <a:noFill/>
                    <a:ln>
                      <a:noFill/>
                    </a:ln>
                  </pic:spPr>
                </pic:pic>
              </a:graphicData>
            </a:graphic>
          </wp:inline>
        </w:drawing>
      </w:r>
    </w:p>
    <w:p>
      <w:pPr>
        <w:pStyle w:val="13"/>
        <w:widowControl/>
        <w:numPr>
          <w:ilvl w:val="0"/>
          <w:numId w:val="11"/>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3"/>
        <w:widowControl/>
        <w:numPr>
          <w:ilvl w:val="0"/>
          <w:numId w:val="11"/>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3"/>
        <w:widowControl/>
        <w:numPr>
          <w:ilvl w:val="0"/>
          <w:numId w:val="11"/>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3"/>
        <w:widowControl/>
        <w:numPr>
          <w:ilvl w:val="0"/>
          <w:numId w:val="11"/>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3"/>
        <w:widowControl/>
        <w:numPr>
          <w:ilvl w:val="0"/>
          <w:numId w:val="11"/>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3"/>
        <w:widowControl/>
        <w:numPr>
          <w:ilvl w:val="0"/>
          <w:numId w:val="11"/>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3"/>
        <w:widowControl/>
        <w:numPr>
          <w:ilvl w:val="0"/>
          <w:numId w:val="11"/>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3"/>
        <w:widowControl/>
        <w:numPr>
          <w:ilvl w:val="0"/>
          <w:numId w:val="11"/>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3"/>
        <w:widowControl/>
        <w:numPr>
          <w:ilvl w:val="0"/>
          <w:numId w:val="11"/>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3"/>
        <w:widowControl/>
        <w:numPr>
          <w:ilvl w:val="0"/>
          <w:numId w:val="11"/>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3"/>
        <w:widowControl/>
        <w:numPr>
          <w:ilvl w:val="0"/>
          <w:numId w:val="11"/>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3"/>
        <w:widowControl/>
        <w:numPr>
          <w:ilvl w:val="0"/>
          <w:numId w:val="11"/>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3"/>
        <w:widowControl/>
        <w:numPr>
          <w:ilvl w:val="0"/>
          <w:numId w:val="11"/>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3"/>
        <w:widowControl/>
        <w:numPr>
          <w:ilvl w:val="0"/>
          <w:numId w:val="11"/>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3"/>
        <w:widowControl/>
        <w:numPr>
          <w:ilvl w:val="0"/>
          <w:numId w:val="11"/>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3"/>
        <w:widowControl/>
        <w:numPr>
          <w:ilvl w:val="0"/>
          <w:numId w:val="11"/>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3"/>
        <w:widowControl/>
        <w:numPr>
          <w:ilvl w:val="0"/>
          <w:numId w:val="11"/>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3"/>
        <w:widowControl/>
        <w:numPr>
          <w:ilvl w:val="0"/>
          <w:numId w:val="11"/>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88710" cy="412750"/>
            <wp:effectExtent l="0" t="0" r="13970" b="13970"/>
            <wp:docPr id="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9"/>
                    <pic:cNvPicPr>
                      <a:picLocks noChangeAspect="1"/>
                    </pic:cNvPicPr>
                  </pic:nvPicPr>
                  <pic:blipFill>
                    <a:blip r:embed="rId9"/>
                    <a:stretch>
                      <a:fillRect/>
                    </a:stretch>
                  </pic:blipFill>
                  <pic:spPr>
                    <a:xfrm>
                      <a:off x="0" y="0"/>
                      <a:ext cx="6188710" cy="412750"/>
                    </a:xfrm>
                    <a:prstGeom prst="rect">
                      <a:avLst/>
                    </a:prstGeom>
                    <a:noFill/>
                    <a:ln>
                      <a:noFill/>
                    </a:ln>
                  </pic:spPr>
                </pic:pic>
              </a:graphicData>
            </a:graphic>
          </wp:inline>
        </w:drawing>
      </w:r>
    </w:p>
    <w:p>
      <w:pPr>
        <w:pStyle w:val="13"/>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spacing w:line="360" w:lineRule="auto"/>
        <w:rPr>
          <w:rFonts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88710" cy="412750"/>
            <wp:effectExtent l="0" t="0" r="13970" b="13970"/>
            <wp:docPr id="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0"/>
                    <pic:cNvPicPr>
                      <a:picLocks noChangeAspect="1"/>
                    </pic:cNvPicPr>
                  </pic:nvPicPr>
                  <pic:blipFill>
                    <a:blip r:embed="rId10"/>
                    <a:stretch>
                      <a:fillRect/>
                    </a:stretch>
                  </pic:blipFill>
                  <pic:spPr>
                    <a:xfrm>
                      <a:off x="0" y="0"/>
                      <a:ext cx="6188710" cy="412750"/>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3"/>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3"/>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3"/>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0" w:name="_Hlk118432381"/>
      <w:r>
        <w:rPr>
          <w:rFonts w:hint="eastAsia" w:ascii="微软雅黑" w:hAnsi="微软雅黑" w:eastAsia="微软雅黑" w:cs="微软雅黑"/>
          <w:color w:val="404040"/>
          <w:szCs w:val="21"/>
        </w:rPr>
        <w:t>工程精益管理</w:t>
      </w:r>
      <w:bookmarkEnd w:id="0"/>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3"/>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1" w:name="_Hlk118432986"/>
      <w:r>
        <w:rPr>
          <w:rFonts w:hint="eastAsia" w:ascii="微软雅黑" w:hAnsi="微软雅黑" w:eastAsia="微软雅黑" w:cs="微软雅黑"/>
          <w:color w:val="404040"/>
          <w:szCs w:val="21"/>
        </w:rPr>
        <w:t>项目总角色定位与项目管理能力</w:t>
      </w:r>
      <w:bookmarkEnd w:id="1"/>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3"/>
        </w:numPr>
        <w:spacing w:line="360" w:lineRule="auto"/>
        <w:ind w:left="284" w:hanging="284"/>
        <w:rPr>
          <w:rFonts w:ascii="微软雅黑" w:hAnsi="微软雅黑" w:eastAsia="微软雅黑" w:cs="微软雅黑"/>
          <w:b/>
          <w:color w:val="404040"/>
          <w:szCs w:val="21"/>
          <w:highlight w:val="yellow"/>
        </w:rPr>
      </w:pPr>
      <w:r>
        <w:rPr>
          <w:rFonts w:hint="eastAsia" w:ascii="微软雅黑" w:hAnsi="微软雅黑" w:eastAsia="微软雅黑" w:cs="微软雅黑"/>
          <w:color w:val="404040"/>
          <w:szCs w:val="21"/>
          <w:highlight w:val="yellow"/>
        </w:rPr>
        <w:t>《标杆房企招采成本供方管控的管理要点及谈判实战案例》</w:t>
      </w:r>
      <w:r>
        <w:rPr>
          <w:rFonts w:hint="eastAsia" w:ascii="微软雅黑" w:hAnsi="微软雅黑" w:eastAsia="微软雅黑" w:cs="微软雅黑"/>
          <w:b/>
          <w:color w:val="404040"/>
          <w:szCs w:val="21"/>
          <w:highlight w:val="yellow"/>
        </w:rPr>
        <w:t>（数百家企业项目管理提升课程，提升整合员工项目供方管理能力，谈判管理意识）</w:t>
      </w:r>
    </w:p>
    <w:p>
      <w:pPr>
        <w:numPr>
          <w:ilvl w:val="0"/>
          <w:numId w:val="13"/>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5"/>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5"/>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5"/>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6"/>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5"/>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5"/>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5"/>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5"/>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6"/>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8"/>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9"/>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6"/>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9"/>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19"/>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5"/>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5"/>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9"/>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8008"/>
      <w:r>
        <w:rPr>
          <w:rFonts w:hint="eastAsia" w:ascii="微软雅黑" w:hAnsi="微软雅黑" w:eastAsia="微软雅黑" w:cs="微软雅黑"/>
          <w:color w:val="404040"/>
          <w:szCs w:val="21"/>
        </w:rPr>
        <w:t>地基基础施工工艺</w:t>
      </w:r>
      <w:bookmarkEnd w:id="6"/>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20"/>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9"/>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8" w:name="_Hlk118438294"/>
      <w:r>
        <w:rPr>
          <w:rFonts w:hint="eastAsia" w:ascii="微软雅黑" w:hAnsi="微软雅黑" w:eastAsia="微软雅黑" w:cs="微软雅黑"/>
          <w:color w:val="404040"/>
          <w:szCs w:val="21"/>
        </w:rPr>
        <w:t>总承包</w:t>
      </w:r>
      <w:bookmarkEnd w:id="8"/>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headerReference r:id="rId3" w:type="default"/>
      <w:footerReference r:id="rId5" w:type="default"/>
      <w:headerReference r:id="rId4" w:type="even"/>
      <w:pgSz w:w="16838" w:h="23811"/>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4855"/>
        <w:tab w:val="clear" w:pos="4153"/>
      </w:tabs>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825E92"/>
    <w:multiLevelType w:val="multilevel"/>
    <w:tmpl w:val="06825E92"/>
    <w:lvl w:ilvl="0" w:tentative="0">
      <w:start w:val="1"/>
      <w:numFmt w:val="bullet"/>
      <w:lvlText w:val=""/>
      <w:lvlJc w:val="left"/>
      <w:pPr>
        <w:ind w:left="1271" w:hanging="420"/>
      </w:pPr>
      <w:rPr>
        <w:rFonts w:hint="default" w:ascii="Wingdings" w:hAnsi="Wingdings"/>
      </w:rPr>
    </w:lvl>
    <w:lvl w:ilvl="1" w:tentative="0">
      <w:start w:val="1"/>
      <w:numFmt w:val="bullet"/>
      <w:lvlText w:val=""/>
      <w:lvlJc w:val="left"/>
      <w:pPr>
        <w:ind w:left="1691" w:hanging="420"/>
      </w:pPr>
      <w:rPr>
        <w:rFonts w:hint="default" w:ascii="Wingdings" w:hAnsi="Wingdings"/>
      </w:rPr>
    </w:lvl>
    <w:lvl w:ilvl="2" w:tentative="0">
      <w:start w:val="1"/>
      <w:numFmt w:val="bullet"/>
      <w:lvlText w:val=""/>
      <w:lvlJc w:val="left"/>
      <w:pPr>
        <w:ind w:left="2111" w:hanging="420"/>
      </w:pPr>
      <w:rPr>
        <w:rFonts w:hint="default" w:ascii="Wingdings" w:hAnsi="Wingdings"/>
      </w:rPr>
    </w:lvl>
    <w:lvl w:ilvl="3" w:tentative="0">
      <w:start w:val="1"/>
      <w:numFmt w:val="bullet"/>
      <w:lvlText w:val=""/>
      <w:lvlJc w:val="left"/>
      <w:pPr>
        <w:ind w:left="2531" w:hanging="420"/>
      </w:pPr>
      <w:rPr>
        <w:rFonts w:hint="default" w:ascii="Wingdings" w:hAnsi="Wingdings"/>
      </w:rPr>
    </w:lvl>
    <w:lvl w:ilvl="4" w:tentative="0">
      <w:start w:val="1"/>
      <w:numFmt w:val="bullet"/>
      <w:lvlText w:val=""/>
      <w:lvlJc w:val="left"/>
      <w:pPr>
        <w:ind w:left="2951" w:hanging="420"/>
      </w:pPr>
      <w:rPr>
        <w:rFonts w:hint="default" w:ascii="Wingdings" w:hAnsi="Wingdings"/>
      </w:rPr>
    </w:lvl>
    <w:lvl w:ilvl="5" w:tentative="0">
      <w:start w:val="1"/>
      <w:numFmt w:val="bullet"/>
      <w:lvlText w:val=""/>
      <w:lvlJc w:val="left"/>
      <w:pPr>
        <w:ind w:left="3371" w:hanging="420"/>
      </w:pPr>
      <w:rPr>
        <w:rFonts w:hint="default" w:ascii="Wingdings" w:hAnsi="Wingdings"/>
      </w:rPr>
    </w:lvl>
    <w:lvl w:ilvl="6" w:tentative="0">
      <w:start w:val="1"/>
      <w:numFmt w:val="bullet"/>
      <w:lvlText w:val=""/>
      <w:lvlJc w:val="left"/>
      <w:pPr>
        <w:ind w:left="3791" w:hanging="420"/>
      </w:pPr>
      <w:rPr>
        <w:rFonts w:hint="default" w:ascii="Wingdings" w:hAnsi="Wingdings"/>
      </w:rPr>
    </w:lvl>
    <w:lvl w:ilvl="7" w:tentative="0">
      <w:start w:val="1"/>
      <w:numFmt w:val="bullet"/>
      <w:lvlText w:val=""/>
      <w:lvlJc w:val="left"/>
      <w:pPr>
        <w:ind w:left="4211" w:hanging="420"/>
      </w:pPr>
      <w:rPr>
        <w:rFonts w:hint="default" w:ascii="Wingdings" w:hAnsi="Wingdings"/>
      </w:rPr>
    </w:lvl>
    <w:lvl w:ilvl="8" w:tentative="0">
      <w:start w:val="1"/>
      <w:numFmt w:val="bullet"/>
      <w:lvlText w:val=""/>
      <w:lvlJc w:val="left"/>
      <w:pPr>
        <w:ind w:left="4631" w:hanging="420"/>
      </w:pPr>
      <w:rPr>
        <w:rFonts w:hint="default" w:ascii="Wingdings" w:hAnsi="Wingdings"/>
      </w:rPr>
    </w:lvl>
  </w:abstractNum>
  <w:abstractNum w:abstractNumId="1">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28A87291"/>
    <w:multiLevelType w:val="multilevel"/>
    <w:tmpl w:val="28A87291"/>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4">
    <w:nsid w:val="2AA52E93"/>
    <w:multiLevelType w:val="multilevel"/>
    <w:tmpl w:val="2AA52E93"/>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45BA415B"/>
    <w:multiLevelType w:val="multilevel"/>
    <w:tmpl w:val="45BA415B"/>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8">
    <w:nsid w:val="52583179"/>
    <w:multiLevelType w:val="multilevel"/>
    <w:tmpl w:val="52583179"/>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9">
    <w:nsid w:val="59710117"/>
    <w:multiLevelType w:val="multilevel"/>
    <w:tmpl w:val="59710117"/>
    <w:lvl w:ilvl="0" w:tentative="0">
      <w:start w:val="1"/>
      <w:numFmt w:val="decimal"/>
      <w:lvlText w:val="%1."/>
      <w:lvlJc w:val="left"/>
      <w:pPr>
        <w:ind w:left="1260" w:hanging="420"/>
      </w:pPr>
      <w:rPr>
        <w:rFonts w:hint="eastAsia"/>
      </w:rPr>
    </w:lvl>
    <w:lvl w:ilvl="1" w:tentative="0">
      <w:start w:val="1"/>
      <w:numFmt w:val="decimal"/>
      <w:lvlText w:val="2.%2."/>
      <w:lvlJc w:val="left"/>
      <w:pPr>
        <w:ind w:left="1680" w:hanging="420"/>
      </w:pPr>
      <w:rPr>
        <w:rFonts w:hint="eastAsia"/>
      </w:r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0">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1">
    <w:nsid w:val="5F266DA0"/>
    <w:multiLevelType w:val="multilevel"/>
    <w:tmpl w:val="5F266DA0"/>
    <w:lvl w:ilvl="0" w:tentative="0">
      <w:start w:val="1"/>
      <w:numFmt w:val="decimal"/>
      <w:lvlText w:val="%1."/>
      <w:lvlJc w:val="left"/>
      <w:pPr>
        <w:ind w:left="1260" w:hanging="420"/>
      </w:pPr>
      <w:rPr>
        <w:rFonts w:hint="eastAsia"/>
      </w:rPr>
    </w:lvl>
    <w:lvl w:ilvl="1" w:tentative="0">
      <w:start w:val="1"/>
      <w:numFmt w:val="decimal"/>
      <w:lvlText w:val="5.%2."/>
      <w:lvlJc w:val="left"/>
      <w:pPr>
        <w:ind w:left="1680" w:hanging="420"/>
      </w:pPr>
      <w:rPr>
        <w:rFonts w:hint="eastAsia"/>
      </w:r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2">
    <w:nsid w:val="637E30C0"/>
    <w:multiLevelType w:val="multilevel"/>
    <w:tmpl w:val="637E30C0"/>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decimal"/>
      <w:lvlText w:val="1.%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4">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5">
    <w:nsid w:val="6E9644C8"/>
    <w:multiLevelType w:val="multilevel"/>
    <w:tmpl w:val="6E9644C8"/>
    <w:lvl w:ilvl="0" w:tentative="0">
      <w:start w:val="1"/>
      <w:numFmt w:val="decimal"/>
      <w:lvlText w:val="%1."/>
      <w:lvlJc w:val="left"/>
      <w:pPr>
        <w:ind w:left="1260" w:hanging="420"/>
      </w:pPr>
      <w:rPr>
        <w:rFonts w:hint="eastAsia"/>
      </w:rPr>
    </w:lvl>
    <w:lvl w:ilvl="1" w:tentative="0">
      <w:start w:val="1"/>
      <w:numFmt w:val="decimal"/>
      <w:lvlText w:val="5.%2."/>
      <w:lvlJc w:val="left"/>
      <w:pPr>
        <w:ind w:left="1680" w:hanging="420"/>
      </w:pPr>
      <w:rPr>
        <w:rFonts w:hint="eastAsia"/>
      </w:r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6">
    <w:nsid w:val="706761A5"/>
    <w:multiLevelType w:val="multilevel"/>
    <w:tmpl w:val="706761A5"/>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4"/>
  </w:num>
  <w:num w:numId="2">
    <w:abstractNumId w:val="12"/>
  </w:num>
  <w:num w:numId="3">
    <w:abstractNumId w:val="8"/>
  </w:num>
  <w:num w:numId="4">
    <w:abstractNumId w:val="0"/>
  </w:num>
  <w:num w:numId="5">
    <w:abstractNumId w:val="7"/>
  </w:num>
  <w:num w:numId="6">
    <w:abstractNumId w:val="16"/>
  </w:num>
  <w:num w:numId="7">
    <w:abstractNumId w:val="11"/>
  </w:num>
  <w:num w:numId="8">
    <w:abstractNumId w:val="9"/>
  </w:num>
  <w:num w:numId="9">
    <w:abstractNumId w:val="3"/>
  </w:num>
  <w:num w:numId="10">
    <w:abstractNumId w:val="15"/>
  </w:num>
  <w:num w:numId="11">
    <w:abstractNumId w:val="5"/>
  </w:num>
  <w:num w:numId="12">
    <w:abstractNumId w:val="17"/>
  </w:num>
  <w:num w:numId="13">
    <w:abstractNumId w:val="1"/>
  </w:num>
  <w:num w:numId="14">
    <w:abstractNumId w:val="6"/>
  </w:num>
  <w:num w:numId="15">
    <w:abstractNumId w:val="14"/>
  </w:num>
  <w:num w:numId="16">
    <w:abstractNumId w:val="10"/>
  </w:num>
  <w:num w:numId="17">
    <w:abstractNumId w:val="2"/>
  </w:num>
  <w:num w:numId="18">
    <w:abstractNumId w:val="10"/>
  </w:num>
  <w:num w:numId="19">
    <w:abstractNumId w:val="2"/>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0AF6"/>
    <w:rsid w:val="0000122C"/>
    <w:rsid w:val="00003AEB"/>
    <w:rsid w:val="00006AC8"/>
    <w:rsid w:val="00020DAC"/>
    <w:rsid w:val="000522F5"/>
    <w:rsid w:val="00066994"/>
    <w:rsid w:val="00075514"/>
    <w:rsid w:val="00092012"/>
    <w:rsid w:val="0009275D"/>
    <w:rsid w:val="000979CB"/>
    <w:rsid w:val="000B6C4B"/>
    <w:rsid w:val="000C6C71"/>
    <w:rsid w:val="000D021F"/>
    <w:rsid w:val="000D195B"/>
    <w:rsid w:val="00100B88"/>
    <w:rsid w:val="0011197F"/>
    <w:rsid w:val="0011547E"/>
    <w:rsid w:val="0013013A"/>
    <w:rsid w:val="0013535E"/>
    <w:rsid w:val="00142D47"/>
    <w:rsid w:val="0015199E"/>
    <w:rsid w:val="00151DB4"/>
    <w:rsid w:val="00185EEB"/>
    <w:rsid w:val="001877FD"/>
    <w:rsid w:val="00191555"/>
    <w:rsid w:val="001C391F"/>
    <w:rsid w:val="001C3CB4"/>
    <w:rsid w:val="001C70AD"/>
    <w:rsid w:val="001D6806"/>
    <w:rsid w:val="001E0A5E"/>
    <w:rsid w:val="001F3EF8"/>
    <w:rsid w:val="002170AA"/>
    <w:rsid w:val="00222A87"/>
    <w:rsid w:val="00226329"/>
    <w:rsid w:val="002434FF"/>
    <w:rsid w:val="00247570"/>
    <w:rsid w:val="002512CF"/>
    <w:rsid w:val="00252F27"/>
    <w:rsid w:val="00253621"/>
    <w:rsid w:val="002555A4"/>
    <w:rsid w:val="00263A6F"/>
    <w:rsid w:val="00277808"/>
    <w:rsid w:val="00286226"/>
    <w:rsid w:val="00290A2A"/>
    <w:rsid w:val="00291C6C"/>
    <w:rsid w:val="002941B6"/>
    <w:rsid w:val="002A10A7"/>
    <w:rsid w:val="002C08EF"/>
    <w:rsid w:val="002D271B"/>
    <w:rsid w:val="002D6EF4"/>
    <w:rsid w:val="002E7115"/>
    <w:rsid w:val="002F64A0"/>
    <w:rsid w:val="002F75F2"/>
    <w:rsid w:val="00310D27"/>
    <w:rsid w:val="0031596C"/>
    <w:rsid w:val="0033554E"/>
    <w:rsid w:val="00350713"/>
    <w:rsid w:val="00351908"/>
    <w:rsid w:val="00363BA6"/>
    <w:rsid w:val="00386F07"/>
    <w:rsid w:val="0038765F"/>
    <w:rsid w:val="003A33FE"/>
    <w:rsid w:val="003A7457"/>
    <w:rsid w:val="003C5A4A"/>
    <w:rsid w:val="003D24D2"/>
    <w:rsid w:val="003E619C"/>
    <w:rsid w:val="003F4A62"/>
    <w:rsid w:val="00404613"/>
    <w:rsid w:val="00407036"/>
    <w:rsid w:val="0041526A"/>
    <w:rsid w:val="004153B9"/>
    <w:rsid w:val="00423F1E"/>
    <w:rsid w:val="00425A3F"/>
    <w:rsid w:val="00444F0F"/>
    <w:rsid w:val="00460105"/>
    <w:rsid w:val="00475856"/>
    <w:rsid w:val="00486FFE"/>
    <w:rsid w:val="004A1970"/>
    <w:rsid w:val="004A658D"/>
    <w:rsid w:val="004B1060"/>
    <w:rsid w:val="004B7E82"/>
    <w:rsid w:val="004C150C"/>
    <w:rsid w:val="004E1C26"/>
    <w:rsid w:val="0051096E"/>
    <w:rsid w:val="00517B4D"/>
    <w:rsid w:val="00520471"/>
    <w:rsid w:val="00531E46"/>
    <w:rsid w:val="005415DC"/>
    <w:rsid w:val="005432C9"/>
    <w:rsid w:val="00551E31"/>
    <w:rsid w:val="00553F13"/>
    <w:rsid w:val="00554147"/>
    <w:rsid w:val="0056257C"/>
    <w:rsid w:val="00567663"/>
    <w:rsid w:val="00582B21"/>
    <w:rsid w:val="0058697F"/>
    <w:rsid w:val="00596E95"/>
    <w:rsid w:val="005A0CDB"/>
    <w:rsid w:val="005A23FC"/>
    <w:rsid w:val="005A25A0"/>
    <w:rsid w:val="005C45C4"/>
    <w:rsid w:val="005F5CA4"/>
    <w:rsid w:val="006020FA"/>
    <w:rsid w:val="006166B4"/>
    <w:rsid w:val="00620066"/>
    <w:rsid w:val="00633212"/>
    <w:rsid w:val="00670936"/>
    <w:rsid w:val="0067469A"/>
    <w:rsid w:val="00674C8F"/>
    <w:rsid w:val="006833D6"/>
    <w:rsid w:val="00687D03"/>
    <w:rsid w:val="006B1FEB"/>
    <w:rsid w:val="006B42AF"/>
    <w:rsid w:val="006C30F7"/>
    <w:rsid w:val="006D3DEF"/>
    <w:rsid w:val="00707C86"/>
    <w:rsid w:val="007348CC"/>
    <w:rsid w:val="007362FA"/>
    <w:rsid w:val="00742C41"/>
    <w:rsid w:val="00743725"/>
    <w:rsid w:val="00762BC4"/>
    <w:rsid w:val="00766FF8"/>
    <w:rsid w:val="007726F3"/>
    <w:rsid w:val="0077545E"/>
    <w:rsid w:val="00785A8D"/>
    <w:rsid w:val="007B03E7"/>
    <w:rsid w:val="007B3BD1"/>
    <w:rsid w:val="007B4FEE"/>
    <w:rsid w:val="007C3FBD"/>
    <w:rsid w:val="007D67FE"/>
    <w:rsid w:val="007F4482"/>
    <w:rsid w:val="00802A72"/>
    <w:rsid w:val="00821D88"/>
    <w:rsid w:val="008235F6"/>
    <w:rsid w:val="008246DE"/>
    <w:rsid w:val="00851C1A"/>
    <w:rsid w:val="00857510"/>
    <w:rsid w:val="00857F09"/>
    <w:rsid w:val="00885472"/>
    <w:rsid w:val="008952AF"/>
    <w:rsid w:val="008A144A"/>
    <w:rsid w:val="008B5F3C"/>
    <w:rsid w:val="009031C7"/>
    <w:rsid w:val="00950A6C"/>
    <w:rsid w:val="0095120B"/>
    <w:rsid w:val="0097034A"/>
    <w:rsid w:val="00976C19"/>
    <w:rsid w:val="00976DDD"/>
    <w:rsid w:val="0098470E"/>
    <w:rsid w:val="00993554"/>
    <w:rsid w:val="009A649E"/>
    <w:rsid w:val="009A6653"/>
    <w:rsid w:val="009E7AED"/>
    <w:rsid w:val="009F1F2C"/>
    <w:rsid w:val="009F5577"/>
    <w:rsid w:val="00A0328B"/>
    <w:rsid w:val="00A236B2"/>
    <w:rsid w:val="00A522F0"/>
    <w:rsid w:val="00A54B56"/>
    <w:rsid w:val="00A6583C"/>
    <w:rsid w:val="00A76C3F"/>
    <w:rsid w:val="00A80D66"/>
    <w:rsid w:val="00A86084"/>
    <w:rsid w:val="00A8706F"/>
    <w:rsid w:val="00A977B1"/>
    <w:rsid w:val="00AC5E27"/>
    <w:rsid w:val="00AD6B28"/>
    <w:rsid w:val="00AE57F1"/>
    <w:rsid w:val="00B24901"/>
    <w:rsid w:val="00B26918"/>
    <w:rsid w:val="00B35C1B"/>
    <w:rsid w:val="00B43B38"/>
    <w:rsid w:val="00B65FDE"/>
    <w:rsid w:val="00B71905"/>
    <w:rsid w:val="00B81878"/>
    <w:rsid w:val="00B825E2"/>
    <w:rsid w:val="00BA370E"/>
    <w:rsid w:val="00BB7187"/>
    <w:rsid w:val="00BD4CF1"/>
    <w:rsid w:val="00BD54B7"/>
    <w:rsid w:val="00BD67F0"/>
    <w:rsid w:val="00BD6A6C"/>
    <w:rsid w:val="00BF4D86"/>
    <w:rsid w:val="00BF7C13"/>
    <w:rsid w:val="00C00C29"/>
    <w:rsid w:val="00C064AA"/>
    <w:rsid w:val="00C12D22"/>
    <w:rsid w:val="00C23B32"/>
    <w:rsid w:val="00C34E6F"/>
    <w:rsid w:val="00C4273D"/>
    <w:rsid w:val="00C44ECE"/>
    <w:rsid w:val="00C5318E"/>
    <w:rsid w:val="00C62174"/>
    <w:rsid w:val="00C635A7"/>
    <w:rsid w:val="00C675A5"/>
    <w:rsid w:val="00C866E1"/>
    <w:rsid w:val="00C86FD0"/>
    <w:rsid w:val="00C92DE5"/>
    <w:rsid w:val="00CB4502"/>
    <w:rsid w:val="00CE2DC1"/>
    <w:rsid w:val="00CF24E5"/>
    <w:rsid w:val="00D05669"/>
    <w:rsid w:val="00D11CDB"/>
    <w:rsid w:val="00D225D1"/>
    <w:rsid w:val="00D27E24"/>
    <w:rsid w:val="00D30438"/>
    <w:rsid w:val="00D37612"/>
    <w:rsid w:val="00D42BDB"/>
    <w:rsid w:val="00D5508B"/>
    <w:rsid w:val="00D80B19"/>
    <w:rsid w:val="00D91AE6"/>
    <w:rsid w:val="00D91F3D"/>
    <w:rsid w:val="00D9536D"/>
    <w:rsid w:val="00D976B6"/>
    <w:rsid w:val="00DA56A6"/>
    <w:rsid w:val="00DA74C6"/>
    <w:rsid w:val="00DC3C68"/>
    <w:rsid w:val="00DD306B"/>
    <w:rsid w:val="00DE3153"/>
    <w:rsid w:val="00DF511B"/>
    <w:rsid w:val="00DF631C"/>
    <w:rsid w:val="00E24E38"/>
    <w:rsid w:val="00E331C2"/>
    <w:rsid w:val="00E44D73"/>
    <w:rsid w:val="00E50433"/>
    <w:rsid w:val="00E677AD"/>
    <w:rsid w:val="00E90178"/>
    <w:rsid w:val="00E943B1"/>
    <w:rsid w:val="00E94B94"/>
    <w:rsid w:val="00EC4DF5"/>
    <w:rsid w:val="00EE02BD"/>
    <w:rsid w:val="00EE3464"/>
    <w:rsid w:val="00F07422"/>
    <w:rsid w:val="00F21560"/>
    <w:rsid w:val="00F275FB"/>
    <w:rsid w:val="00F327BC"/>
    <w:rsid w:val="00F3480F"/>
    <w:rsid w:val="00F40012"/>
    <w:rsid w:val="00F64AB2"/>
    <w:rsid w:val="00F92274"/>
    <w:rsid w:val="00F934E6"/>
    <w:rsid w:val="00FB1623"/>
    <w:rsid w:val="00FB5406"/>
    <w:rsid w:val="00FC6B29"/>
    <w:rsid w:val="00FE2EF0"/>
    <w:rsid w:val="00FE71FA"/>
    <w:rsid w:val="00FF0C2C"/>
    <w:rsid w:val="00FF242A"/>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312C1A77"/>
    <w:rsid w:val="36BE0BA5"/>
    <w:rsid w:val="3BFE2CDF"/>
    <w:rsid w:val="438027F3"/>
    <w:rsid w:val="47763262"/>
    <w:rsid w:val="48D26A70"/>
    <w:rsid w:val="4CDE3442"/>
    <w:rsid w:val="56D05C63"/>
    <w:rsid w:val="57D81586"/>
    <w:rsid w:val="5E285F3B"/>
    <w:rsid w:val="69D71D92"/>
    <w:rsid w:val="6D1D77D3"/>
    <w:rsid w:val="721457E7"/>
    <w:rsid w:val="73302699"/>
    <w:rsid w:val="74EF4D17"/>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customStyle="1" w:styleId="2">
    <w:name w:val="样式1"/>
    <w:basedOn w:val="3"/>
    <w:qFormat/>
    <w:uiPriority w:val="0"/>
    <w:pPr>
      <w:spacing w:line="360" w:lineRule="auto"/>
      <w:jc w:val="center"/>
    </w:pPr>
    <w:rPr>
      <w:rFonts w:ascii="微软雅黑" w:hAnsi="微软雅黑" w:eastAsia="微软雅黑"/>
      <w:sz w:val="32"/>
      <w:szCs w:val="32"/>
    </w:rPr>
  </w:style>
  <w:style w:type="paragraph" w:styleId="4">
    <w:name w:val="footer"/>
    <w:basedOn w:val="1"/>
    <w:link w:val="12"/>
    <w:uiPriority w:val="0"/>
    <w:pPr>
      <w:tabs>
        <w:tab w:val="center" w:pos="4153"/>
        <w:tab w:val="right" w:pos="8306"/>
      </w:tabs>
      <w:snapToGrid w:val="0"/>
      <w:jc w:val="left"/>
    </w:pPr>
    <w:rPr>
      <w:sz w:val="18"/>
      <w:szCs w:val="18"/>
    </w:rPr>
  </w:style>
  <w:style w:type="paragraph" w:styleId="5">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8">
    <w:name w:val="Table Grid"/>
    <w:basedOn w:val="7"/>
    <w:uiPriority w:val="0"/>
    <w:pPr>
      <w:widowControl w:val="0"/>
      <w:jc w:val="both"/>
    </w:p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0"/>
    <w:rPr>
      <w:b/>
    </w:rPr>
  </w:style>
  <w:style w:type="character" w:customStyle="1" w:styleId="11">
    <w:name w:val="页眉 Char"/>
    <w:link w:val="5"/>
    <w:uiPriority w:val="0"/>
    <w:rPr>
      <w:kern w:val="2"/>
      <w:sz w:val="18"/>
      <w:szCs w:val="18"/>
    </w:rPr>
  </w:style>
  <w:style w:type="character" w:customStyle="1" w:styleId="12">
    <w:name w:val="页脚 Char"/>
    <w:link w:val="4"/>
    <w:uiPriority w:val="0"/>
    <w:rPr>
      <w:kern w:val="2"/>
      <w:sz w:val="18"/>
      <w:szCs w:val="18"/>
    </w:rPr>
  </w:style>
  <w:style w:type="paragraph" w:styleId="13">
    <w:name w:val="List Paragraph"/>
    <w:basedOn w:val="1"/>
    <w:qFormat/>
    <w:uiPriority w:val="34"/>
    <w:pPr>
      <w:ind w:firstLine="420" w:firstLineChars="200"/>
    </w:pPr>
    <w:rPr>
      <w:rFonts w:ascii="等线" w:hAnsi="等线" w:eastAsia="等线"/>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6</Pages>
  <Words>6862</Words>
  <Characters>6899</Characters>
  <Lines>50</Lines>
  <Paragraphs>14</Paragraphs>
  <TotalTime>3</TotalTime>
  <ScaleCrop>false</ScaleCrop>
  <LinksUpToDate>false</LinksUpToDate>
  <CharactersWithSpaces>6936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2022-07-05T09:26:00Z</dcterms:created>
  <dc:creator>微软中国</dc:creator>
  <cp:lastModifiedBy>蓉儿</cp:lastModifiedBy>
  <dcterms:modified xsi:type="dcterms:W3CDTF">2023-01-04T08:00:05Z</dcterms:modified>
  <dc:title>在当前房地产行业中，设计管理一直是各地产公司管理的焦点和难点</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C6EB84DC43E543648CEFE6577230F42A</vt:lpwstr>
  </property>
</Properties>
</file>