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11" w:name="_GoBack"/>
      <w:bookmarkEnd w:id="11"/>
      <w:r>
        <w:rPr>
          <w:rFonts w:hint="eastAsia" w:ascii="微软雅黑" w:hAnsi="微软雅黑" w:eastAsia="微软雅黑" w:cs="微软雅黑"/>
          <w:b/>
          <w:bCs/>
          <w:sz w:val="24"/>
        </w:rPr>
        <w:t>标杆房企绿色建筑、健康建筑与近零能耗建筑管理要点及实战案例</w:t>
      </w:r>
    </w:p>
    <w:p>
      <w:pPr>
        <w:spacing w:line="440" w:lineRule="exact"/>
        <w:rPr>
          <w:rFonts w:ascii="微软雅黑" w:hAnsi="微软雅黑" w:eastAsia="微软雅黑"/>
          <w:b/>
          <w:color w:val="FFFFFF"/>
          <w:sz w:val="24"/>
          <w:highlight w:val="black"/>
        </w:rPr>
      </w:pPr>
      <w:bookmarkStart w:id="0" w:name="_Hlk106712323"/>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bookmarkEnd w:id="0"/>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绿色建筑一直是各地产公司重点推崇的新卖点和价值增长点。面对自相矛盾的标准规范、错误百出的图纸、居高不下的成本、粗制滥造的供应商、挑剔的客户、肆虐全球的新冠疫情，地产行业新的出路和利润增长点在哪里。</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理解掌握全球主流绿色建筑体系</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理解掌握中国绿色建筑评价标准</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理解掌握健康建筑与</w:t>
      </w:r>
      <w:r>
        <w:rPr>
          <w:rFonts w:ascii="微软雅黑" w:hAnsi="微软雅黑" w:eastAsia="微软雅黑" w:cs="微软雅黑"/>
          <w:sz w:val="24"/>
        </w:rPr>
        <w:t>WELL</w:t>
      </w:r>
      <w:r>
        <w:rPr>
          <w:rFonts w:hint="eastAsia" w:ascii="微软雅黑" w:hAnsi="微软雅黑" w:eastAsia="微软雅黑" w:cs="微软雅黑"/>
          <w:sz w:val="24"/>
        </w:rPr>
        <w:t>评价标准</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w:t>
      </w:r>
      <w:r>
        <w:rPr>
          <w:rFonts w:ascii="微软雅黑" w:hAnsi="微软雅黑" w:eastAsia="微软雅黑" w:cs="微软雅黑"/>
          <w:sz w:val="24"/>
        </w:rPr>
        <w:t>被动房与净零能耗建筑</w:t>
      </w:r>
      <w:r>
        <w:rPr>
          <w:rFonts w:hint="eastAsia" w:ascii="微软雅黑" w:hAnsi="微软雅黑" w:eastAsia="微软雅黑" w:cs="微软雅黑"/>
          <w:sz w:val="24"/>
        </w:rPr>
        <w:t>评价标准</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w:t>
      </w:r>
      <w:r>
        <w:rPr>
          <w:rFonts w:ascii="微软雅黑" w:hAnsi="微软雅黑" w:eastAsia="微软雅黑" w:cs="微软雅黑"/>
          <w:sz w:val="24"/>
        </w:rPr>
        <w:t>主动房评价体系</w:t>
      </w:r>
      <w:r>
        <w:rPr>
          <w:rFonts w:hint="eastAsia" w:ascii="微软雅黑" w:hAnsi="微软雅黑" w:eastAsia="微软雅黑" w:cs="微软雅黑"/>
          <w:sz w:val="24"/>
        </w:rPr>
        <w:t>评价标准</w:t>
      </w:r>
    </w:p>
    <w:p>
      <w:pPr>
        <w:spacing w:line="480" w:lineRule="exact"/>
        <w:ind w:firstLine="480" w:firstLineChars="200"/>
        <w:rPr>
          <w:rFonts w:hint="eastAsia" w:ascii="微软雅黑" w:hAnsi="微软雅黑" w:eastAsia="微软雅黑" w:cs="微软雅黑"/>
          <w:sz w:val="24"/>
        </w:rPr>
      </w:pP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widowControl/>
        <w:shd w:val="clear" w:color="auto" w:fill="FFFFFF"/>
        <w:spacing w:line="480" w:lineRule="exact"/>
        <w:jc w:val="left"/>
        <w:rPr>
          <w:rFonts w:ascii="Verdana" w:hAnsi="Verdana" w:cs="Verdana"/>
          <w:color w:val="333333"/>
          <w:szCs w:val="21"/>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第一部分：全球主流绿色建筑体系简介</w:t>
      </w:r>
    </w:p>
    <w:p>
      <w:pPr>
        <w:numPr>
          <w:ilvl w:val="0"/>
          <w:numId w:val="2"/>
        </w:numPr>
        <w:spacing w:line="480" w:lineRule="exact"/>
        <w:ind w:left="1276" w:hanging="425"/>
        <w:rPr>
          <w:rFonts w:hint="eastAsia" w:ascii="微软雅黑" w:hAnsi="微软雅黑" w:eastAsia="微软雅黑" w:cs="微软雅黑"/>
          <w:b/>
          <w:color w:val="000000"/>
          <w:sz w:val="24"/>
        </w:rPr>
      </w:pPr>
      <w:r>
        <w:rPr>
          <w:rFonts w:hint="eastAsia" w:ascii="微软雅黑" w:hAnsi="微软雅黑" w:eastAsia="微软雅黑" w:cs="微软雅黑"/>
          <w:b/>
          <w:color w:val="000000"/>
          <w:sz w:val="24"/>
        </w:rPr>
        <w:t>建筑对环境的影响</w:t>
      </w:r>
    </w:p>
    <w:p>
      <w:pPr>
        <w:numPr>
          <w:ilvl w:val="0"/>
          <w:numId w:val="2"/>
        </w:numPr>
        <w:spacing w:line="480" w:lineRule="exact"/>
        <w:ind w:left="1276" w:hanging="425"/>
        <w:rPr>
          <w:rFonts w:ascii="微软雅黑" w:hAnsi="微软雅黑" w:eastAsia="微软雅黑" w:cs="微软雅黑"/>
          <w:b/>
          <w:color w:val="000000"/>
          <w:sz w:val="24"/>
        </w:rPr>
      </w:pPr>
      <w:r>
        <w:rPr>
          <w:rFonts w:hint="eastAsia" w:ascii="微软雅黑" w:hAnsi="微软雅黑" w:eastAsia="微软雅黑" w:cs="微软雅黑"/>
          <w:b/>
          <w:color w:val="000000"/>
          <w:sz w:val="24"/>
        </w:rPr>
        <w:t>全球绿建“演变”的多样性</w:t>
      </w:r>
    </w:p>
    <w:p>
      <w:pPr>
        <w:numPr>
          <w:ilvl w:val="0"/>
          <w:numId w:val="2"/>
        </w:numPr>
        <w:spacing w:line="480" w:lineRule="exact"/>
        <w:ind w:left="1276" w:hanging="425"/>
        <w:rPr>
          <w:rFonts w:ascii="微软雅黑" w:hAnsi="微软雅黑" w:eastAsia="微软雅黑" w:cs="微软雅黑"/>
          <w:b/>
          <w:color w:val="000000"/>
          <w:sz w:val="24"/>
        </w:rPr>
      </w:pPr>
      <w:r>
        <w:rPr>
          <w:rFonts w:hint="eastAsia" w:ascii="微软雅黑" w:hAnsi="微软雅黑" w:eastAsia="微软雅黑" w:cs="微软雅黑"/>
          <w:b/>
          <w:color w:val="000000"/>
          <w:sz w:val="24"/>
        </w:rPr>
        <w:t>绿建参与方</w:t>
      </w:r>
    </w:p>
    <w:p>
      <w:pPr>
        <w:numPr>
          <w:ilvl w:val="0"/>
          <w:numId w:val="2"/>
        </w:numPr>
        <w:spacing w:line="480" w:lineRule="exact"/>
        <w:ind w:left="1276" w:hanging="425"/>
        <w:rPr>
          <w:rFonts w:ascii="微软雅黑" w:hAnsi="微软雅黑" w:eastAsia="微软雅黑" w:cs="微软雅黑"/>
          <w:b/>
          <w:color w:val="000000"/>
          <w:sz w:val="24"/>
        </w:rPr>
      </w:pPr>
      <w:r>
        <w:rPr>
          <w:rFonts w:hint="eastAsia" w:ascii="微软雅黑" w:hAnsi="微软雅黑" w:eastAsia="微软雅黑" w:cs="微软雅黑"/>
          <w:b/>
          <w:color w:val="000000"/>
          <w:sz w:val="24"/>
        </w:rPr>
        <w:t>行业发展动态</w:t>
      </w:r>
    </w:p>
    <w:p>
      <w:pPr>
        <w:numPr>
          <w:ilvl w:val="0"/>
          <w:numId w:val="2"/>
        </w:numPr>
        <w:spacing w:line="480" w:lineRule="exact"/>
        <w:ind w:left="1276" w:hanging="425"/>
        <w:rPr>
          <w:rFonts w:ascii="微软雅黑" w:hAnsi="微软雅黑" w:eastAsia="微软雅黑" w:cs="微软雅黑"/>
          <w:b/>
          <w:color w:val="000000"/>
          <w:sz w:val="24"/>
        </w:rPr>
      </w:pPr>
      <w:r>
        <w:rPr>
          <w:rFonts w:hint="eastAsia" w:ascii="微软雅黑" w:hAnsi="微软雅黑" w:eastAsia="微软雅黑" w:cs="微软雅黑"/>
          <w:b/>
          <w:color w:val="000000"/>
          <w:sz w:val="24"/>
        </w:rPr>
        <w:t>健康建筑国际合作</w:t>
      </w:r>
    </w:p>
    <w:p>
      <w:pPr>
        <w:numPr>
          <w:ilvl w:val="0"/>
          <w:numId w:val="2"/>
        </w:numPr>
        <w:spacing w:line="480" w:lineRule="exact"/>
        <w:ind w:left="1276" w:hanging="425"/>
        <w:rPr>
          <w:rFonts w:ascii="微软雅黑" w:hAnsi="微软雅黑" w:eastAsia="微软雅黑" w:cs="微软雅黑"/>
          <w:b/>
          <w:color w:val="000000"/>
          <w:sz w:val="24"/>
        </w:rPr>
      </w:pPr>
      <w:r>
        <w:rPr>
          <w:rFonts w:hint="eastAsia" w:ascii="微软雅黑" w:hAnsi="微软雅黑" w:eastAsia="微软雅黑" w:cs="微软雅黑"/>
          <w:b/>
          <w:color w:val="000000"/>
          <w:sz w:val="24"/>
        </w:rPr>
        <w:t>绿建发展现状与趋势</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第二部分：中国绿色建筑评价标准</w:t>
      </w:r>
    </w:p>
    <w:p>
      <w:pPr>
        <w:numPr>
          <w:ilvl w:val="0"/>
          <w:numId w:val="3"/>
        </w:numPr>
        <w:spacing w:line="480" w:lineRule="exact"/>
        <w:ind w:left="1560"/>
        <w:rPr>
          <w:rFonts w:ascii="微软雅黑" w:hAnsi="微软雅黑" w:eastAsia="微软雅黑" w:cs="微软雅黑"/>
          <w:b/>
          <w:color w:val="000000"/>
          <w:sz w:val="24"/>
        </w:rPr>
      </w:pPr>
      <w:r>
        <w:rPr>
          <w:rFonts w:hint="eastAsia" w:ascii="微软雅黑" w:hAnsi="微软雅黑" w:eastAsia="微软雅黑" w:cs="微软雅黑"/>
          <w:b/>
          <w:color w:val="000000"/>
          <w:sz w:val="24"/>
        </w:rPr>
        <w:t>国际绿色建筑评价标准</w:t>
      </w:r>
    </w:p>
    <w:p>
      <w:pPr>
        <w:numPr>
          <w:ilvl w:val="0"/>
          <w:numId w:val="3"/>
        </w:numPr>
        <w:spacing w:line="480" w:lineRule="exact"/>
        <w:ind w:left="1560"/>
        <w:rPr>
          <w:rFonts w:ascii="微软雅黑" w:hAnsi="微软雅黑" w:eastAsia="微软雅黑" w:cs="微软雅黑"/>
          <w:b/>
          <w:color w:val="000000"/>
          <w:sz w:val="24"/>
        </w:rPr>
      </w:pPr>
      <w:r>
        <w:rPr>
          <w:rFonts w:hint="eastAsia" w:ascii="微软雅黑" w:hAnsi="微软雅黑" w:eastAsia="微软雅黑" w:cs="微软雅黑"/>
          <w:b/>
          <w:color w:val="000000"/>
          <w:sz w:val="24"/>
        </w:rPr>
        <w:t>中国</w:t>
      </w:r>
      <w:r>
        <w:rPr>
          <w:rFonts w:ascii="微软雅黑" w:hAnsi="微软雅黑" w:eastAsia="微软雅黑" w:cs="微软雅黑"/>
          <w:b/>
          <w:color w:val="000000"/>
          <w:sz w:val="24"/>
        </w:rPr>
        <w:t>《绿色建筑评价标准 》修订</w:t>
      </w:r>
    </w:p>
    <w:p>
      <w:pPr>
        <w:numPr>
          <w:ilvl w:val="0"/>
          <w:numId w:val="3"/>
        </w:numPr>
        <w:spacing w:line="480" w:lineRule="exact"/>
        <w:ind w:left="1560"/>
        <w:rPr>
          <w:rFonts w:ascii="微软雅黑" w:hAnsi="微软雅黑" w:eastAsia="微软雅黑" w:cs="微软雅黑"/>
          <w:b/>
          <w:color w:val="000000"/>
          <w:sz w:val="24"/>
        </w:rPr>
      </w:pPr>
      <w:r>
        <w:rPr>
          <w:rFonts w:ascii="微软雅黑" w:hAnsi="微软雅黑" w:eastAsia="微软雅黑" w:cs="微软雅黑"/>
          <w:b/>
          <w:color w:val="000000"/>
          <w:sz w:val="24"/>
        </w:rPr>
        <w:t>标准修订内容与特点</w:t>
      </w:r>
    </w:p>
    <w:p>
      <w:pPr>
        <w:numPr>
          <w:ilvl w:val="0"/>
          <w:numId w:val="3"/>
        </w:numPr>
        <w:spacing w:line="480" w:lineRule="exact"/>
        <w:ind w:left="1560"/>
        <w:rPr>
          <w:rFonts w:ascii="微软雅黑" w:hAnsi="微软雅黑" w:eastAsia="微软雅黑" w:cs="微软雅黑"/>
          <w:b/>
          <w:color w:val="000000"/>
          <w:sz w:val="24"/>
        </w:rPr>
      </w:pPr>
      <w:r>
        <w:rPr>
          <w:rFonts w:ascii="微软雅黑" w:hAnsi="微软雅黑" w:eastAsia="微软雅黑" w:cs="微软雅黑"/>
          <w:b/>
          <w:color w:val="000000"/>
          <w:sz w:val="24"/>
        </w:rPr>
        <w:t>标准参评对象</w:t>
      </w:r>
    </w:p>
    <w:p>
      <w:pPr>
        <w:numPr>
          <w:ilvl w:val="0"/>
          <w:numId w:val="3"/>
        </w:numPr>
        <w:spacing w:line="480" w:lineRule="exact"/>
        <w:ind w:left="1560"/>
        <w:rPr>
          <w:rFonts w:ascii="微软雅黑" w:hAnsi="微软雅黑" w:eastAsia="微软雅黑" w:cs="微软雅黑"/>
          <w:b/>
          <w:color w:val="000000"/>
          <w:sz w:val="24"/>
        </w:rPr>
      </w:pPr>
      <w:r>
        <w:rPr>
          <w:rFonts w:ascii="微软雅黑" w:hAnsi="微软雅黑" w:eastAsia="微软雅黑" w:cs="微软雅黑"/>
          <w:b/>
          <w:color w:val="000000"/>
          <w:sz w:val="24"/>
        </w:rPr>
        <w:t>评价与等级划分</w:t>
      </w:r>
    </w:p>
    <w:p>
      <w:pPr>
        <w:numPr>
          <w:ilvl w:val="0"/>
          <w:numId w:val="3"/>
        </w:numPr>
        <w:spacing w:line="480" w:lineRule="exact"/>
        <w:ind w:left="1560"/>
        <w:rPr>
          <w:rFonts w:ascii="微软雅黑" w:hAnsi="微软雅黑" w:eastAsia="微软雅黑" w:cs="微软雅黑"/>
          <w:b/>
          <w:color w:val="000000"/>
          <w:sz w:val="24"/>
        </w:rPr>
      </w:pPr>
      <w:r>
        <w:rPr>
          <w:rFonts w:ascii="微软雅黑" w:hAnsi="微软雅黑" w:eastAsia="微软雅黑" w:cs="微软雅黑"/>
          <w:b/>
          <w:color w:val="000000"/>
          <w:sz w:val="24"/>
        </w:rPr>
        <w:t>新老标准对比</w:t>
      </w:r>
    </w:p>
    <w:p>
      <w:pPr>
        <w:numPr>
          <w:ilvl w:val="0"/>
          <w:numId w:val="3"/>
        </w:numPr>
        <w:spacing w:line="480" w:lineRule="exact"/>
        <w:ind w:left="1560"/>
        <w:rPr>
          <w:rFonts w:ascii="微软雅黑" w:hAnsi="微软雅黑" w:eastAsia="微软雅黑" w:cs="微软雅黑"/>
          <w:b/>
          <w:color w:val="000000"/>
          <w:sz w:val="24"/>
        </w:rPr>
      </w:pPr>
      <w:r>
        <w:rPr>
          <w:rFonts w:ascii="微软雅黑" w:hAnsi="微软雅黑" w:eastAsia="微软雅黑" w:cs="微软雅黑"/>
          <w:b/>
          <w:color w:val="000000"/>
          <w:sz w:val="24"/>
        </w:rPr>
        <w:t>绿色建筑评价流程</w:t>
      </w:r>
    </w:p>
    <w:p>
      <w:pPr>
        <w:numPr>
          <w:ilvl w:val="0"/>
          <w:numId w:val="3"/>
        </w:numPr>
        <w:spacing w:line="480" w:lineRule="exact"/>
        <w:ind w:left="1560"/>
        <w:rPr>
          <w:rFonts w:hint="eastAsia" w:ascii="微软雅黑" w:hAnsi="微软雅黑" w:eastAsia="微软雅黑" w:cs="微软雅黑"/>
          <w:b/>
          <w:color w:val="000000"/>
          <w:sz w:val="24"/>
        </w:rPr>
      </w:pPr>
      <w:r>
        <w:rPr>
          <w:rFonts w:ascii="微软雅黑" w:hAnsi="微软雅黑" w:eastAsia="微软雅黑" w:cs="微软雅黑"/>
          <w:b/>
          <w:color w:val="000000"/>
          <w:sz w:val="24"/>
        </w:rPr>
        <w:t>绿色建筑案例</w:t>
      </w:r>
      <w:r>
        <w:rPr>
          <w:rFonts w:hint="eastAsia" w:ascii="微软雅黑" w:hAnsi="微软雅黑" w:eastAsia="微软雅黑" w:cs="微软雅黑"/>
          <w:b/>
          <w:color w:val="000000"/>
          <w:sz w:val="24"/>
        </w:rPr>
        <w:t>分享</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w:t>
      </w:r>
      <w:r>
        <w:rPr>
          <w:rFonts w:ascii="微软雅黑" w:hAnsi="微软雅黑" w:eastAsia="微软雅黑" w:cs="微软雅黑"/>
          <w:b/>
          <w:color w:val="FF0000"/>
          <w:sz w:val="24"/>
        </w:rPr>
        <w:t>健康建筑与</w:t>
      </w:r>
      <w:r>
        <w:rPr>
          <w:rFonts w:hint="eastAsia" w:ascii="微软雅黑" w:hAnsi="微软雅黑" w:eastAsia="微软雅黑" w:cs="微软雅黑"/>
          <w:b/>
          <w:color w:val="FF0000"/>
          <w:sz w:val="24"/>
        </w:rPr>
        <w:t>WELL</w:t>
      </w:r>
      <w:r>
        <w:rPr>
          <w:rFonts w:ascii="微软雅黑" w:hAnsi="微软雅黑" w:eastAsia="微软雅黑" w:cs="微软雅黑"/>
          <w:b/>
          <w:color w:val="FF0000"/>
          <w:sz w:val="24"/>
        </w:rPr>
        <w:t>评价</w:t>
      </w:r>
      <w:r>
        <w:rPr>
          <w:rFonts w:hint="eastAsia" w:ascii="微软雅黑" w:hAnsi="微软雅黑" w:eastAsia="微软雅黑" w:cs="微软雅黑"/>
          <w:b/>
          <w:color w:val="FF0000"/>
          <w:sz w:val="24"/>
        </w:rPr>
        <w:t>标准</w:t>
      </w:r>
    </w:p>
    <w:p>
      <w:pPr>
        <w:numPr>
          <w:ilvl w:val="0"/>
          <w:numId w:val="4"/>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健康建筑的发展背景</w:t>
      </w:r>
    </w:p>
    <w:p>
      <w:pPr>
        <w:numPr>
          <w:ilvl w:val="0"/>
          <w:numId w:val="4"/>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健康建筑之前提条件</w:t>
      </w:r>
    </w:p>
    <w:p>
      <w:pPr>
        <w:numPr>
          <w:ilvl w:val="0"/>
          <w:numId w:val="4"/>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《健康建筑评价标准》的框架体系</w:t>
      </w:r>
    </w:p>
    <w:p>
      <w:pPr>
        <w:numPr>
          <w:ilvl w:val="0"/>
          <w:numId w:val="4"/>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中国健康建筑认证统计</w:t>
      </w:r>
    </w:p>
    <w:p>
      <w:pPr>
        <w:numPr>
          <w:ilvl w:val="0"/>
          <w:numId w:val="4"/>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健康建筑案例</w:t>
      </w:r>
      <w:r>
        <w:rPr>
          <w:rFonts w:hint="eastAsia" w:ascii="微软雅黑" w:hAnsi="微软雅黑" w:eastAsia="微软雅黑" w:cs="微软雅黑"/>
          <w:b/>
          <w:color w:val="000000"/>
          <w:sz w:val="24"/>
        </w:rPr>
        <w:t>——</w:t>
      </w:r>
      <w:r>
        <w:rPr>
          <w:rFonts w:ascii="微软雅黑" w:hAnsi="微软雅黑" w:eastAsia="微软雅黑" w:cs="微软雅黑"/>
          <w:b/>
          <w:color w:val="000000"/>
          <w:sz w:val="24"/>
        </w:rPr>
        <w:t xml:space="preserve"> 佛山万国府ΜΟΜΛ</w:t>
      </w:r>
    </w:p>
    <w:p>
      <w:pPr>
        <w:numPr>
          <w:ilvl w:val="0"/>
          <w:numId w:val="4"/>
        </w:numPr>
        <w:spacing w:line="480" w:lineRule="exact"/>
        <w:ind w:hanging="294"/>
        <w:rPr>
          <w:rFonts w:ascii="微软雅黑" w:hAnsi="微软雅黑" w:eastAsia="微软雅黑" w:cs="微软雅黑"/>
          <w:b/>
          <w:color w:val="000000"/>
          <w:sz w:val="24"/>
        </w:rPr>
      </w:pPr>
      <w:r>
        <w:rPr>
          <w:rFonts w:hint="eastAsia" w:ascii="微软雅黑" w:hAnsi="微软雅黑" w:eastAsia="微软雅黑" w:cs="微软雅黑"/>
          <w:b/>
          <w:color w:val="000000"/>
          <w:sz w:val="24"/>
        </w:rPr>
        <w:t>WELL</w:t>
      </w:r>
      <w:r>
        <w:rPr>
          <w:rFonts w:ascii="微软雅黑" w:hAnsi="微软雅黑" w:eastAsia="微软雅黑" w:cs="微软雅黑"/>
          <w:b/>
          <w:color w:val="000000"/>
          <w:sz w:val="24"/>
        </w:rPr>
        <w:t>标准七大概念</w:t>
      </w:r>
    </w:p>
    <w:p>
      <w:pPr>
        <w:numPr>
          <w:ilvl w:val="0"/>
          <w:numId w:val="4"/>
        </w:numPr>
        <w:spacing w:line="480" w:lineRule="exact"/>
        <w:ind w:hanging="294"/>
        <w:rPr>
          <w:rFonts w:ascii="微软雅黑" w:hAnsi="微软雅黑" w:eastAsia="微软雅黑" w:cs="微软雅黑"/>
          <w:b/>
          <w:color w:val="000000"/>
          <w:sz w:val="24"/>
        </w:rPr>
      </w:pPr>
      <w:r>
        <w:rPr>
          <w:rFonts w:hint="eastAsia" w:ascii="微软雅黑" w:hAnsi="微软雅黑" w:eastAsia="微软雅黑" w:cs="微软雅黑"/>
          <w:b/>
          <w:color w:val="000000"/>
          <w:sz w:val="24"/>
        </w:rPr>
        <w:t>WELL</w:t>
      </w:r>
      <w:r>
        <w:rPr>
          <w:rFonts w:ascii="微软雅黑" w:hAnsi="微软雅黑" w:eastAsia="微软雅黑" w:cs="微软雅黑"/>
          <w:b/>
          <w:color w:val="000000"/>
          <w:sz w:val="24"/>
        </w:rPr>
        <w:t>评审流程</w:t>
      </w:r>
    </w:p>
    <w:p>
      <w:pPr>
        <w:numPr>
          <w:ilvl w:val="0"/>
          <w:numId w:val="4"/>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佛山万国府</w:t>
      </w:r>
      <w:r>
        <w:rPr>
          <w:rFonts w:hint="eastAsia" w:ascii="微软雅黑" w:hAnsi="微软雅黑" w:eastAsia="微软雅黑" w:cs="微软雅黑"/>
          <w:b/>
          <w:color w:val="000000"/>
          <w:sz w:val="24"/>
        </w:rPr>
        <w:t>WELL</w:t>
      </w:r>
      <w:r>
        <w:rPr>
          <w:rFonts w:ascii="微软雅黑" w:hAnsi="微软雅黑" w:eastAsia="微软雅黑" w:cs="微软雅黑"/>
          <w:b/>
          <w:color w:val="000000"/>
          <w:sz w:val="24"/>
        </w:rPr>
        <w:t>金级现场检测</w:t>
      </w:r>
    </w:p>
    <w:p>
      <w:pPr>
        <w:numPr>
          <w:ilvl w:val="0"/>
          <w:numId w:val="4"/>
        </w:numPr>
        <w:spacing w:line="480" w:lineRule="exact"/>
        <w:ind w:hanging="294"/>
        <w:rPr>
          <w:rFonts w:hint="eastAsia" w:ascii="微软雅黑" w:hAnsi="微软雅黑" w:eastAsia="微软雅黑" w:cs="微软雅黑"/>
          <w:b/>
          <w:color w:val="000000"/>
          <w:sz w:val="24"/>
        </w:rPr>
      </w:pPr>
      <w:r>
        <w:rPr>
          <w:rFonts w:ascii="微软雅黑" w:hAnsi="微软雅黑" w:eastAsia="微软雅黑" w:cs="微软雅黑"/>
          <w:b/>
          <w:color w:val="000000"/>
          <w:sz w:val="24"/>
        </w:rPr>
        <w:t>佛山万国府</w:t>
      </w:r>
      <w:r>
        <w:rPr>
          <w:rFonts w:hint="eastAsia" w:ascii="微软雅黑" w:hAnsi="微软雅黑" w:eastAsia="微软雅黑" w:cs="微软雅黑"/>
          <w:b/>
          <w:color w:val="000000"/>
          <w:sz w:val="24"/>
        </w:rPr>
        <w:t>WELL</w:t>
      </w:r>
      <w:r>
        <w:rPr>
          <w:rFonts w:ascii="微软雅黑" w:hAnsi="微软雅黑" w:eastAsia="微软雅黑" w:cs="微软雅黑"/>
          <w:b/>
          <w:color w:val="000000"/>
          <w:sz w:val="24"/>
        </w:rPr>
        <w:t>金级认证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w:t>
      </w:r>
      <w:r>
        <w:rPr>
          <w:rFonts w:ascii="微软雅黑" w:hAnsi="微软雅黑" w:eastAsia="微软雅黑" w:cs="微软雅黑"/>
          <w:b/>
          <w:color w:val="FF0000"/>
          <w:sz w:val="24"/>
        </w:rPr>
        <w:t>被动房与净零能耗建筑评价标准</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被动房发展历程</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被动房主要参数</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德国能源证书</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 xml:space="preserve">近零能耗建筑 </w:t>
      </w:r>
      <w:r>
        <w:rPr>
          <w:rFonts w:hint="eastAsia" w:ascii="微软雅黑" w:hAnsi="微软雅黑" w:eastAsia="微软雅黑" w:cs="微软雅黑"/>
          <w:b/>
          <w:color w:val="000000"/>
          <w:sz w:val="24"/>
        </w:rPr>
        <w:t>——</w:t>
      </w:r>
      <w:r>
        <w:rPr>
          <w:rFonts w:ascii="微软雅黑" w:hAnsi="微软雅黑" w:eastAsia="微软雅黑" w:cs="微软雅黑"/>
          <w:b/>
          <w:color w:val="000000"/>
          <w:sz w:val="24"/>
        </w:rPr>
        <w:t>中国“被动房</w:t>
      </w:r>
      <w:r>
        <w:rPr>
          <w:rFonts w:hint="eastAsia" w:ascii="微软雅黑" w:hAnsi="微软雅黑" w:eastAsia="微软雅黑" w:cs="微软雅黑"/>
          <w:b/>
          <w:color w:val="000000"/>
          <w:sz w:val="24"/>
        </w:rPr>
        <w:t>”</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当代置业绿色建筑的演进路径</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净零能耗建筑体系</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 xml:space="preserve">净零能耗建筑实践 </w:t>
      </w:r>
      <w:r>
        <w:rPr>
          <w:rFonts w:hint="eastAsia" w:ascii="微软雅黑" w:hAnsi="微软雅黑" w:eastAsia="微软雅黑" w:cs="微软雅黑"/>
          <w:b/>
          <w:color w:val="000000"/>
          <w:sz w:val="24"/>
        </w:rPr>
        <w:t>——</w:t>
      </w:r>
      <w:r>
        <w:rPr>
          <w:rFonts w:ascii="微软雅黑" w:hAnsi="微软雅黑" w:eastAsia="微软雅黑" w:cs="微软雅黑"/>
          <w:b/>
          <w:color w:val="000000"/>
          <w:sz w:val="24"/>
        </w:rPr>
        <w:t xml:space="preserve">恐龙 </w:t>
      </w:r>
      <w:r>
        <w:rPr>
          <w:rFonts w:hint="eastAsia" w:ascii="微软雅黑" w:hAnsi="微软雅黑" w:eastAsia="微软雅黑" w:cs="微软雅黑"/>
          <w:b/>
          <w:color w:val="000000"/>
          <w:sz w:val="24"/>
        </w:rPr>
        <w:t>3</w:t>
      </w:r>
      <w:r>
        <w:rPr>
          <w:rFonts w:ascii="微软雅黑" w:hAnsi="微软雅黑" w:eastAsia="微软雅黑" w:cs="微软雅黑"/>
          <w:b/>
          <w:color w:val="000000"/>
          <w:sz w:val="24"/>
        </w:rPr>
        <w:t>号</w:t>
      </w:r>
    </w:p>
    <w:p>
      <w:pPr>
        <w:numPr>
          <w:ilvl w:val="0"/>
          <w:numId w:val="5"/>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工场预制与现场装配</w:t>
      </w:r>
    </w:p>
    <w:p>
      <w:pPr>
        <w:numPr>
          <w:ilvl w:val="0"/>
          <w:numId w:val="5"/>
        </w:numPr>
        <w:spacing w:line="480" w:lineRule="exact"/>
        <w:ind w:hanging="294"/>
        <w:rPr>
          <w:rFonts w:hint="eastAsia" w:ascii="微软雅黑" w:hAnsi="微软雅黑" w:eastAsia="微软雅黑" w:cs="微软雅黑"/>
          <w:b/>
          <w:color w:val="000000"/>
          <w:sz w:val="24"/>
        </w:rPr>
      </w:pPr>
      <w:r>
        <w:rPr>
          <w:rFonts w:ascii="微软雅黑" w:hAnsi="微软雅黑" w:eastAsia="微软雅黑" w:cs="微软雅黑"/>
          <w:b/>
          <w:color w:val="000000"/>
          <w:sz w:val="24"/>
        </w:rPr>
        <w:t xml:space="preserve">建筑物鼓风门气密检测 </w:t>
      </w:r>
      <w:r>
        <w:rPr>
          <w:rFonts w:ascii="微软雅黑" w:hAnsi="微软雅黑" w:eastAsia="微软雅黑" w:cs="微软雅黑"/>
          <w:b/>
          <w:color w:val="000000"/>
          <w:sz w:val="24"/>
        </w:rPr>
        <w:tab/>
      </w:r>
      <w:r>
        <w:rPr>
          <w:rFonts w:hint="eastAsia" w:ascii="微软雅黑" w:hAnsi="微软雅黑" w:eastAsia="微软雅黑" w:cs="微软雅黑"/>
          <w:b/>
          <w:color w:val="000000"/>
          <w:sz w:val="24"/>
        </w:rPr>
        <w:t>(n50≤0.6)</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w:t>
      </w:r>
      <w:r>
        <w:rPr>
          <w:rFonts w:ascii="微软雅黑" w:hAnsi="微软雅黑" w:eastAsia="微软雅黑" w:cs="微软雅黑"/>
          <w:b/>
          <w:color w:val="FF0000"/>
          <w:sz w:val="24"/>
        </w:rPr>
        <w:t>主动房</w:t>
      </w:r>
      <w:r>
        <w:rPr>
          <w:rFonts w:hint="eastAsia" w:ascii="微软雅黑" w:hAnsi="微软雅黑" w:eastAsia="微软雅黑" w:cs="微软雅黑"/>
          <w:b/>
          <w:color w:val="FF0000"/>
          <w:sz w:val="24"/>
        </w:rPr>
        <w:t>简介</w:t>
      </w:r>
    </w:p>
    <w:p>
      <w:pPr>
        <w:numPr>
          <w:ilvl w:val="0"/>
          <w:numId w:val="6"/>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主动——</w:t>
      </w:r>
      <w:r>
        <w:rPr>
          <w:rFonts w:hint="eastAsia" w:ascii="微软雅黑" w:hAnsi="微软雅黑" w:eastAsia="微软雅黑" w:cs="微软雅黑"/>
          <w:b/>
          <w:color w:val="000000"/>
          <w:sz w:val="24"/>
        </w:rPr>
        <w:t>ACTIVE</w:t>
      </w:r>
    </w:p>
    <w:p>
      <w:pPr>
        <w:numPr>
          <w:ilvl w:val="0"/>
          <w:numId w:val="6"/>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国际主动房联盟</w:t>
      </w:r>
    </w:p>
    <w:p>
      <w:pPr>
        <w:numPr>
          <w:ilvl w:val="0"/>
          <w:numId w:val="6"/>
        </w:numPr>
        <w:spacing w:line="480" w:lineRule="exact"/>
        <w:ind w:hanging="294"/>
        <w:rPr>
          <w:rFonts w:ascii="微软雅黑" w:hAnsi="微软雅黑" w:eastAsia="微软雅黑" w:cs="微软雅黑"/>
          <w:b/>
          <w:color w:val="000000"/>
          <w:sz w:val="24"/>
        </w:rPr>
      </w:pPr>
      <w:r>
        <w:rPr>
          <w:rFonts w:ascii="微软雅黑" w:hAnsi="微软雅黑" w:eastAsia="微软雅黑" w:cs="微软雅黑"/>
          <w:b/>
          <w:color w:val="000000"/>
          <w:sz w:val="24"/>
        </w:rPr>
        <w:t>主动房雷达图</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第六部分：技术提升路径建议</w:t>
      </w:r>
    </w:p>
    <w:p>
      <w:pPr>
        <w:numPr>
          <w:ilvl w:val="0"/>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绿色建筑适配技术引进建议和性价比分析</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零渗漏技术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零渗漏屋顶绿化技术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外保温技术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外遮阳技术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节能门窗技术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楼板辐射技术</w:t>
      </w:r>
    </w:p>
    <w:p>
      <w:pPr>
        <w:numPr>
          <w:ilvl w:val="1"/>
          <w:numId w:val="7"/>
        </w:numPr>
        <w:tabs>
          <w:tab w:val="left" w:pos="1560"/>
          <w:tab w:val="left" w:pos="1701"/>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集中式全置换新风技术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分户式全置换新风技术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地源、水源、空气源热泵技术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净水技术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同层排水技术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楼板隔声技术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建筑防疫排风技术</w:t>
      </w:r>
    </w:p>
    <w:p>
      <w:pPr>
        <w:numPr>
          <w:ilvl w:val="1"/>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雨水收集综合利用技术</w:t>
      </w:r>
    </w:p>
    <w:p>
      <w:pPr>
        <w:numPr>
          <w:ilvl w:val="0"/>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绿建二星对标</w:t>
      </w:r>
    </w:p>
    <w:p>
      <w:pPr>
        <w:numPr>
          <w:ilvl w:val="0"/>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健康建筑对标</w:t>
      </w:r>
    </w:p>
    <w:p>
      <w:pPr>
        <w:numPr>
          <w:ilvl w:val="0"/>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星级申报建议</w:t>
      </w:r>
    </w:p>
    <w:p>
      <w:pPr>
        <w:numPr>
          <w:ilvl w:val="0"/>
          <w:numId w:val="7"/>
        </w:numPr>
        <w:tabs>
          <w:tab w:val="left" w:pos="851"/>
          <w:tab w:val="left" w:pos="1560"/>
        </w:tabs>
        <w:spacing w:line="480" w:lineRule="exact"/>
        <w:ind w:left="851" w:firstLine="0"/>
        <w:rPr>
          <w:rFonts w:ascii="微软雅黑" w:hAnsi="微软雅黑" w:eastAsia="微软雅黑" w:cs="微软雅黑"/>
          <w:b/>
          <w:color w:val="000000"/>
          <w:sz w:val="24"/>
        </w:rPr>
      </w:pPr>
      <w:r>
        <w:rPr>
          <w:rFonts w:hint="eastAsia" w:ascii="微软雅黑" w:hAnsi="微软雅黑" w:eastAsia="微软雅黑" w:cs="微软雅黑"/>
          <w:b/>
          <w:color w:val="000000"/>
          <w:sz w:val="24"/>
        </w:rPr>
        <w:t>绿建卖点梳理</w:t>
      </w:r>
    </w:p>
    <w:p>
      <w:pPr>
        <w:tabs>
          <w:tab w:val="left" w:pos="851"/>
          <w:tab w:val="left" w:pos="1560"/>
        </w:tabs>
        <w:spacing w:line="480" w:lineRule="exact"/>
        <w:ind w:left="851"/>
        <w:rPr>
          <w:rFonts w:ascii="微软雅黑" w:hAnsi="微软雅黑" w:eastAsia="微软雅黑" w:cs="微软雅黑"/>
          <w:bCs/>
          <w:color w:val="800000"/>
          <w:sz w:val="24"/>
        </w:rPr>
      </w:pPr>
      <w:r>
        <w:rPr>
          <w:rFonts w:hint="eastAsia" w:ascii="微软雅黑" w:hAnsi="微软雅黑" w:eastAsia="微软雅黑" w:cs="微软雅黑"/>
          <w:bCs/>
          <w:color w:val="800000"/>
          <w:sz w:val="24"/>
        </w:rPr>
        <w:t xml:space="preserve"> </w:t>
      </w:r>
    </w:p>
    <w:p>
      <w:pPr>
        <w:spacing w:line="480" w:lineRule="exact"/>
        <w:rPr>
          <w:rFonts w:ascii="微软雅黑" w:hAnsi="微软雅黑" w:eastAsia="微软雅黑" w:cs="微软雅黑"/>
          <w:bCs/>
          <w:color w:val="800000"/>
          <w:sz w:val="24"/>
        </w:rPr>
      </w:pPr>
      <w:r>
        <w:rPr>
          <w:rFonts w:hint="eastAsia" w:ascii="微软雅黑" w:hAnsi="微软雅黑" w:eastAsia="微软雅黑" w:cs="微软雅黑"/>
          <w:bCs/>
          <w:color w:val="800000"/>
          <w:sz w:val="24"/>
        </w:rPr>
        <w:t xml:space="preserve"> </w:t>
      </w:r>
      <w:r>
        <w:rPr>
          <w:rFonts w:ascii="微软雅黑" w:hAnsi="微软雅黑" w:eastAsia="微软雅黑" w:cs="微软雅黑"/>
          <w:bCs/>
          <w:color w:val="800000"/>
          <w:sz w:val="24"/>
        </w:rPr>
        <w:t xml:space="preserve">     </w:t>
      </w:r>
    </w:p>
    <w:p>
      <w:pPr>
        <w:spacing w:line="480" w:lineRule="exact"/>
        <w:rPr>
          <w:rFonts w:ascii="微软雅黑" w:hAnsi="微软雅黑" w:eastAsia="微软雅黑" w:cs="微软雅黑"/>
          <w:bCs/>
          <w:color w:val="800000"/>
          <w:sz w:val="24"/>
        </w:rPr>
      </w:pPr>
    </w:p>
    <w:p>
      <w:pPr>
        <w:spacing w:line="480" w:lineRule="exact"/>
        <w:rPr>
          <w:rFonts w:ascii="微软雅黑" w:hAnsi="微软雅黑" w:eastAsia="微软雅黑" w:cs="微软雅黑"/>
          <w:bCs/>
          <w:color w:val="800000"/>
          <w:sz w:val="24"/>
        </w:rPr>
      </w:pPr>
    </w:p>
    <w:p>
      <w:pPr>
        <w:adjustRightInd w:val="0"/>
        <w:snapToGrid w:val="0"/>
        <w:spacing w:line="288" w:lineRule="auto"/>
        <w:jc w:val="center"/>
        <w:rPr>
          <w:rFonts w:ascii="微软雅黑" w:hAnsi="微软雅黑" w:eastAsia="微软雅黑" w:cs="微软雅黑"/>
          <w:bCs/>
          <w:color w:val="800000"/>
          <w:sz w:val="24"/>
        </w:rPr>
      </w:pPr>
    </w:p>
    <w:p>
      <w:pPr>
        <w:adjustRightInd w:val="0"/>
        <w:snapToGrid w:val="0"/>
        <w:spacing w:line="288" w:lineRule="auto"/>
        <w:jc w:val="center"/>
        <w:rPr>
          <w:rFonts w:ascii="微软雅黑" w:hAnsi="微软雅黑" w:eastAsia="微软雅黑" w:cs="微软雅黑"/>
          <w:bCs/>
          <w:color w:val="800000"/>
          <w:sz w:val="24"/>
        </w:rPr>
      </w:pPr>
    </w:p>
    <w:p>
      <w:pPr>
        <w:adjustRightInd w:val="0"/>
        <w:snapToGrid w:val="0"/>
        <w:spacing w:line="288" w:lineRule="auto"/>
        <w:jc w:val="center"/>
        <w:rPr>
          <w:rFonts w:ascii="微软雅黑" w:hAnsi="微软雅黑" w:eastAsia="微软雅黑" w:cs="微软雅黑"/>
          <w:bCs/>
          <w:color w:val="800000"/>
          <w:sz w:val="24"/>
        </w:rPr>
      </w:pPr>
    </w:p>
    <w:p>
      <w:pPr>
        <w:adjustRightInd w:val="0"/>
        <w:snapToGrid w:val="0"/>
        <w:spacing w:line="288" w:lineRule="auto"/>
        <w:jc w:val="center"/>
        <w:rPr>
          <w:rFonts w:ascii="微软雅黑" w:hAnsi="微软雅黑" w:eastAsia="微软雅黑" w:cs="宋体"/>
          <w:b/>
          <w:color w:val="404040"/>
          <w:spacing w:val="10"/>
          <w:szCs w:val="21"/>
        </w:rPr>
      </w:pPr>
      <w:r>
        <w:rPr>
          <w:rFonts w:hint="eastAsia" w:ascii="微软雅黑" w:hAnsi="微软雅黑" w:eastAsia="微软雅黑" w:cs="微软雅黑"/>
          <w:bCs/>
          <w:color w:val="800000"/>
          <w:sz w:val="24"/>
        </w:rPr>
        <w:t xml:space="preserve"> </w:t>
      </w:r>
      <w:r>
        <w:rPr>
          <w:rFonts w:ascii="微软雅黑" w:hAnsi="微软雅黑" w:eastAsia="微软雅黑" w:cs="微软雅黑"/>
          <w:bCs/>
          <w:color w:val="800000"/>
          <w:sz w:val="24"/>
        </w:rPr>
        <w:t xml:space="preserve">      </w:t>
      </w:r>
      <w:bookmarkStart w:id="1" w:name="_Hlk106713002"/>
      <w:r>
        <w:rPr>
          <w:rFonts w:ascii="微软雅黑" w:hAnsi="微软雅黑" w:eastAsia="微软雅黑" w:cs="宋体"/>
          <w:b/>
          <w:color w:val="404040"/>
          <w:spacing w:val="10"/>
          <w:szCs w:val="21"/>
          <w:lang/>
        </w:rPr>
        <w:drawing>
          <wp:inline distT="0" distB="0" distL="114300" distR="114300">
            <wp:extent cx="6199505" cy="394970"/>
            <wp:effectExtent l="0" t="0" r="3175" b="127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bookmarkEnd w:id="1"/>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2"/>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5"/>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6"/>
        </w:numPr>
        <w:spacing w:line="360" w:lineRule="auto"/>
        <w:ind w:left="284" w:hanging="284"/>
        <w:rPr>
          <w:rFonts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《标杆房企绿色建筑、健康建筑与近零能耗建筑管理要点及实战案例》</w:t>
      </w:r>
      <w:r>
        <w:rPr>
          <w:rFonts w:hint="eastAsia" w:ascii="微软雅黑" w:hAnsi="微软雅黑" w:eastAsia="微软雅黑" w:cs="微软雅黑"/>
          <w:b/>
          <w:color w:val="404040"/>
          <w:szCs w:val="21"/>
          <w:highlight w:val="yellow"/>
        </w:rPr>
        <w:t>（多家央企绿建管理提升课程）</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highlight w:val="yellow"/>
        </w:rPr>
        <w:t>中国绿色建筑委员会委员，作为当代首席工程师组织当代获得50多项项目绿建星级评定，获得LEED铂金，健康宅等多项科技绿色住宅奖项；</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6"/>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4" w:name="_Hlk118436183"/>
      <w:r>
        <w:rPr>
          <w:rFonts w:hint="eastAsia" w:ascii="微软雅黑" w:hAnsi="微软雅黑" w:eastAsia="微软雅黑" w:cs="微软雅黑"/>
          <w:color w:val="404040"/>
          <w:szCs w:val="21"/>
        </w:rPr>
        <w:t>安全管理</w:t>
      </w:r>
      <w:bookmarkEnd w:id="4"/>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7"/>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B703C"/>
    <w:multiLevelType w:val="multilevel"/>
    <w:tmpl w:val="008B703C"/>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06E9397D"/>
    <w:multiLevelType w:val="multilevel"/>
    <w:tmpl w:val="06E9397D"/>
    <w:lvl w:ilvl="0" w:tentative="0">
      <w:start w:val="1"/>
      <w:numFmt w:val="decimal"/>
      <w:lvlText w:val="%1、"/>
      <w:lvlJc w:val="left"/>
      <w:pPr>
        <w:ind w:left="1145" w:hanging="7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
    <w:nsid w:val="08DC0DF1"/>
    <w:multiLevelType w:val="multilevel"/>
    <w:tmpl w:val="08DC0DF1"/>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3185325"/>
    <w:multiLevelType w:val="multilevel"/>
    <w:tmpl w:val="33185325"/>
    <w:lvl w:ilvl="0" w:tentative="0">
      <w:start w:val="1"/>
      <w:numFmt w:val="decimal"/>
      <w:lvlText w:val="%1、"/>
      <w:lvlJc w:val="left"/>
      <w:pPr>
        <w:ind w:left="1145" w:hanging="7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8">
    <w:nsid w:val="4494206B"/>
    <w:multiLevelType w:val="multilevel"/>
    <w:tmpl w:val="4494206B"/>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557073E3"/>
    <w:multiLevelType w:val="multilevel"/>
    <w:tmpl w:val="557073E3"/>
    <w:lvl w:ilvl="0" w:tentative="0">
      <w:start w:val="1"/>
      <w:numFmt w:val="decimal"/>
      <w:lvlText w:val="%1、"/>
      <w:lvlJc w:val="left"/>
      <w:pPr>
        <w:ind w:left="1145" w:hanging="7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663F53CF"/>
    <w:multiLevelType w:val="multilevel"/>
    <w:tmpl w:val="663F53CF"/>
    <w:lvl w:ilvl="0" w:tentative="0">
      <w:start w:val="1"/>
      <w:numFmt w:val="decimal"/>
      <w:lvlText w:val="%1、"/>
      <w:lvlJc w:val="left"/>
      <w:pPr>
        <w:ind w:left="1145" w:hanging="7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2">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8"/>
  </w:num>
  <w:num w:numId="3">
    <w:abstractNumId w:val="1"/>
  </w:num>
  <w:num w:numId="4">
    <w:abstractNumId w:val="9"/>
  </w:num>
  <w:num w:numId="5">
    <w:abstractNumId w:val="7"/>
  </w:num>
  <w:num w:numId="6">
    <w:abstractNumId w:val="11"/>
  </w:num>
  <w:num w:numId="7">
    <w:abstractNumId w:val="2"/>
  </w:num>
  <w:num w:numId="8">
    <w:abstractNumId w:val="5"/>
  </w:num>
  <w:num w:numId="9">
    <w:abstractNumId w:val="14"/>
  </w:num>
  <w:num w:numId="10">
    <w:abstractNumId w:val="3"/>
  </w:num>
  <w:num w:numId="11">
    <w:abstractNumId w:val="6"/>
  </w:num>
  <w:num w:numId="12">
    <w:abstractNumId w:val="13"/>
  </w:num>
  <w:num w:numId="13">
    <w:abstractNumId w:val="10"/>
  </w:num>
  <w:num w:numId="14">
    <w:abstractNumId w:val="4"/>
  </w:num>
  <w:num w:numId="15">
    <w:abstractNumId w:val="10"/>
  </w:num>
  <w:num w:numId="16">
    <w:abstractNumId w:val="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31141"/>
    <w:rsid w:val="000419D8"/>
    <w:rsid w:val="0006055E"/>
    <w:rsid w:val="00075514"/>
    <w:rsid w:val="00096D6F"/>
    <w:rsid w:val="000B6C4B"/>
    <w:rsid w:val="0013013A"/>
    <w:rsid w:val="001370B5"/>
    <w:rsid w:val="00151DB4"/>
    <w:rsid w:val="00191555"/>
    <w:rsid w:val="00194F86"/>
    <w:rsid w:val="001B0B6F"/>
    <w:rsid w:val="001C391F"/>
    <w:rsid w:val="001E0A5E"/>
    <w:rsid w:val="00212255"/>
    <w:rsid w:val="002170AA"/>
    <w:rsid w:val="00222A87"/>
    <w:rsid w:val="002242E7"/>
    <w:rsid w:val="002555A4"/>
    <w:rsid w:val="00286226"/>
    <w:rsid w:val="00290A2A"/>
    <w:rsid w:val="00291C6C"/>
    <w:rsid w:val="002D6EF4"/>
    <w:rsid w:val="0031596C"/>
    <w:rsid w:val="00327335"/>
    <w:rsid w:val="0032733F"/>
    <w:rsid w:val="00350713"/>
    <w:rsid w:val="00363BA6"/>
    <w:rsid w:val="003728E5"/>
    <w:rsid w:val="003845C8"/>
    <w:rsid w:val="003D1C9D"/>
    <w:rsid w:val="003E619C"/>
    <w:rsid w:val="00404613"/>
    <w:rsid w:val="00407036"/>
    <w:rsid w:val="004179C2"/>
    <w:rsid w:val="00423F1E"/>
    <w:rsid w:val="00475856"/>
    <w:rsid w:val="00486FFE"/>
    <w:rsid w:val="00496CDE"/>
    <w:rsid w:val="004E1C26"/>
    <w:rsid w:val="004E4AC7"/>
    <w:rsid w:val="004F6C78"/>
    <w:rsid w:val="00531E46"/>
    <w:rsid w:val="00555B66"/>
    <w:rsid w:val="0058697F"/>
    <w:rsid w:val="00596E95"/>
    <w:rsid w:val="005A0CDB"/>
    <w:rsid w:val="00613DF5"/>
    <w:rsid w:val="00633212"/>
    <w:rsid w:val="00635519"/>
    <w:rsid w:val="0066089E"/>
    <w:rsid w:val="0067469A"/>
    <w:rsid w:val="00687D03"/>
    <w:rsid w:val="00693EF4"/>
    <w:rsid w:val="006D3DEF"/>
    <w:rsid w:val="006E00AA"/>
    <w:rsid w:val="006E073E"/>
    <w:rsid w:val="006F6674"/>
    <w:rsid w:val="007221B9"/>
    <w:rsid w:val="007348CC"/>
    <w:rsid w:val="007726F3"/>
    <w:rsid w:val="007B03E7"/>
    <w:rsid w:val="007D67FE"/>
    <w:rsid w:val="00802A72"/>
    <w:rsid w:val="00853A0D"/>
    <w:rsid w:val="008852AA"/>
    <w:rsid w:val="00885472"/>
    <w:rsid w:val="008952AF"/>
    <w:rsid w:val="008F4FC4"/>
    <w:rsid w:val="009031C7"/>
    <w:rsid w:val="00922DFA"/>
    <w:rsid w:val="009355B7"/>
    <w:rsid w:val="00956296"/>
    <w:rsid w:val="0097034A"/>
    <w:rsid w:val="0098470E"/>
    <w:rsid w:val="009A07DA"/>
    <w:rsid w:val="009A6653"/>
    <w:rsid w:val="009C6524"/>
    <w:rsid w:val="009E7AED"/>
    <w:rsid w:val="009F5577"/>
    <w:rsid w:val="00A236B2"/>
    <w:rsid w:val="00A522F0"/>
    <w:rsid w:val="00A54B56"/>
    <w:rsid w:val="00A76C3F"/>
    <w:rsid w:val="00A80D66"/>
    <w:rsid w:val="00A86084"/>
    <w:rsid w:val="00A8706F"/>
    <w:rsid w:val="00AB1DAD"/>
    <w:rsid w:val="00AB647E"/>
    <w:rsid w:val="00AC5E27"/>
    <w:rsid w:val="00AE7AEF"/>
    <w:rsid w:val="00AF46FE"/>
    <w:rsid w:val="00B24901"/>
    <w:rsid w:val="00B40F89"/>
    <w:rsid w:val="00B55571"/>
    <w:rsid w:val="00B65FDE"/>
    <w:rsid w:val="00B758E5"/>
    <w:rsid w:val="00BA370E"/>
    <w:rsid w:val="00BB46D7"/>
    <w:rsid w:val="00BB4745"/>
    <w:rsid w:val="00BB5034"/>
    <w:rsid w:val="00BF7C13"/>
    <w:rsid w:val="00C00C29"/>
    <w:rsid w:val="00C064AA"/>
    <w:rsid w:val="00C11E90"/>
    <w:rsid w:val="00C4273D"/>
    <w:rsid w:val="00C44ECE"/>
    <w:rsid w:val="00C62174"/>
    <w:rsid w:val="00C64D9B"/>
    <w:rsid w:val="00C675A5"/>
    <w:rsid w:val="00C819D0"/>
    <w:rsid w:val="00C92DE5"/>
    <w:rsid w:val="00CA6916"/>
    <w:rsid w:val="00CA720D"/>
    <w:rsid w:val="00CD3FC3"/>
    <w:rsid w:val="00CF24E5"/>
    <w:rsid w:val="00D225D1"/>
    <w:rsid w:val="00D80B19"/>
    <w:rsid w:val="00DA56A6"/>
    <w:rsid w:val="00DB69F1"/>
    <w:rsid w:val="00DB7CD7"/>
    <w:rsid w:val="00DE3153"/>
    <w:rsid w:val="00DF631C"/>
    <w:rsid w:val="00E0315A"/>
    <w:rsid w:val="00E44D73"/>
    <w:rsid w:val="00E52396"/>
    <w:rsid w:val="00E677AD"/>
    <w:rsid w:val="00E943B1"/>
    <w:rsid w:val="00EB75FE"/>
    <w:rsid w:val="00EE02BD"/>
    <w:rsid w:val="00F14529"/>
    <w:rsid w:val="00F21560"/>
    <w:rsid w:val="00F327BC"/>
    <w:rsid w:val="00F366B6"/>
    <w:rsid w:val="00F43C44"/>
    <w:rsid w:val="00F92274"/>
    <w:rsid w:val="00FB5406"/>
    <w:rsid w:val="00FB714A"/>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8A93900"/>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3829</Words>
  <Characters>3873</Characters>
  <Lines>28</Lines>
  <Paragraphs>8</Paragraphs>
  <TotalTime>0</TotalTime>
  <ScaleCrop>false</ScaleCrop>
  <LinksUpToDate>false</LinksUpToDate>
  <CharactersWithSpaces>3922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2021-02-26T13:03:00Z</dcterms:created>
  <dc:creator>微软中国</dc:creator>
  <cp:lastModifiedBy>蓉儿</cp:lastModifiedBy>
  <dcterms:modified xsi:type="dcterms:W3CDTF">2023-01-04T08:14:50Z</dcterms:modified>
  <dc:title>在当前房地产行业中，设计管理一直是各地产公司管理的焦点和难点</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E5B9D02D97154D878D7F957C062DACB5</vt:lpwstr>
  </property>
</Properties>
</file>