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567" w:leftChars="270"/>
        <w:jc w:val="center"/>
        <w:rPr>
          <w:rFonts w:hint="eastAsia" w:ascii="微软雅黑" w:hAnsi="微软雅黑" w:eastAsia="微软雅黑" w:cs="微软雅黑"/>
          <w:b/>
          <w:bCs/>
          <w:sz w:val="28"/>
          <w:szCs w:val="28"/>
        </w:rPr>
      </w:pPr>
      <w:bookmarkStart w:id="9" w:name="_GoBack"/>
      <w:bookmarkEnd w:id="9"/>
      <w:r>
        <w:rPr>
          <w:rFonts w:hint="eastAsia" w:ascii="微软雅黑" w:hAnsi="微软雅黑" w:eastAsia="微软雅黑" w:cs="微软雅黑"/>
          <w:b/>
          <w:bCs/>
          <w:sz w:val="24"/>
        </w:rPr>
        <w:t>防水工程施工工艺管控要点及实战案例</w:t>
      </w:r>
    </w:p>
    <w:p>
      <w:pPr>
        <w:spacing w:line="480" w:lineRule="exact"/>
        <w:ind w:left="567" w:leftChars="270"/>
        <w:rPr>
          <w:rFonts w:hint="eastAsia" w:ascii="微软雅黑" w:hAnsi="微软雅黑" w:eastAsia="微软雅黑" w:cs="微软雅黑"/>
          <w:sz w:val="28"/>
          <w:szCs w:val="28"/>
        </w:rPr>
      </w:pPr>
      <w:r>
        <w:rPr>
          <w:b/>
          <w:bCs/>
          <w:sz w:val="28"/>
          <w:szCs w:val="28"/>
        </w:rPr>
        <mc:AlternateContent>
          <mc:Choice Requires="wps">
            <w:drawing>
              <wp:anchor distT="0" distB="0" distL="114300" distR="114300" simplePos="0" relativeHeight="251662336" behindDoc="0" locked="0" layoutInCell="1" allowOverlap="1">
                <wp:simplePos x="0" y="0"/>
                <wp:positionH relativeFrom="column">
                  <wp:posOffset>128905</wp:posOffset>
                </wp:positionH>
                <wp:positionV relativeFrom="paragraph">
                  <wp:posOffset>209550</wp:posOffset>
                </wp:positionV>
                <wp:extent cx="1064895" cy="374015"/>
                <wp:effectExtent l="4445" t="4445" r="12700" b="17780"/>
                <wp:wrapSquare wrapText="bothSides"/>
                <wp:docPr id="4" name="文本框 10"/>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【课程背景】</w:t>
                            </w:r>
                          </w:p>
                        </w:txbxContent>
                      </wps:txbx>
                      <wps:bodyPr wrap="square" upright="1"/>
                    </wps:wsp>
                  </a:graphicData>
                </a:graphic>
              </wp:anchor>
            </w:drawing>
          </mc:Choice>
          <mc:Fallback>
            <w:pict>
              <v:shape id="文本框 10" o:spid="_x0000_s1026" o:spt="202" type="#_x0000_t202" style="position:absolute;left:0pt;margin-left:10.15pt;margin-top:16.5pt;height:29.45pt;width:83.85pt;mso-wrap-distance-bottom:0pt;mso-wrap-distance-left:9pt;mso-wrap-distance-right:9pt;mso-wrap-distance-top:0pt;z-index:251662336;mso-width-relative:page;mso-height-relative:page;" fillcolor="#000000" filled="t" stroked="t" coordsize="21600,21600" o:gfxdata="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vgTYhtcAAAAIAQAADwAA&#10;AAAAAAABACAAAAAiAAAAZHJzL2Rvd25yZXYueG1sUEsBAhQAFAAAAAgAh07iQD4S5aoXAgAARQ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【课程背景】</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spacing w:line="480" w:lineRule="exact"/>
        <w:ind w:firstLine="480" w:firstLineChars="200"/>
        <w:rPr>
          <w:rFonts w:hint="eastAsia" w:ascii="微软雅黑" w:hAnsi="微软雅黑" w:eastAsia="微软雅黑" w:cs="微软雅黑"/>
          <w:sz w:val="24"/>
        </w:rPr>
      </w:pP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22年的工作经历及经验（10年中建系统工作经历、11年地产企业管理经历），结合清华大学工程制造业精细化及流程化的管理方法，通过对多个与工程工艺工法有关的实际操作案例进行情景解剖，导出能够适合大多数地产企业确保工程管理目标前提下大幅提升工艺质量水平的的工作思路和技巧，以及切实落地的手段及措施。</w:t>
      </w: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本次课程特点是将标杆地产企业工程管理的实战经验与清华大学制造业经典管理理论密切结合，实操案例多、启发性强，后续可通过互动交流来进一步梳理学员的管理思路及实战操作。</w:t>
      </w:r>
    </w:p>
    <w:p>
      <w:pPr>
        <w:spacing w:line="480" w:lineRule="exact"/>
        <w:ind w:left="567" w:leftChars="270"/>
        <w:rPr>
          <w:rFonts w:hint="eastAsia" w:ascii="微软雅黑" w:hAnsi="微软雅黑" w:eastAsia="微软雅黑" w:cs="微软雅黑"/>
          <w:sz w:val="28"/>
          <w:szCs w:val="28"/>
        </w:rPr>
      </w:pPr>
      <w:r>
        <w:rPr>
          <w:sz w:val="28"/>
          <w:szCs w:val="28"/>
        </w:rPr>
        <mc:AlternateContent>
          <mc:Choice Requires="wps">
            <w:drawing>
              <wp:anchor distT="0" distB="0" distL="114300" distR="114300" simplePos="0" relativeHeight="251659264" behindDoc="0" locked="0" layoutInCell="1" allowOverlap="1">
                <wp:simplePos x="0" y="0"/>
                <wp:positionH relativeFrom="column">
                  <wp:posOffset>99060</wp:posOffset>
                </wp:positionH>
                <wp:positionV relativeFrom="paragraph">
                  <wp:posOffset>162560</wp:posOffset>
                </wp:positionV>
                <wp:extent cx="1064895" cy="374015"/>
                <wp:effectExtent l="4445" t="4445" r="12700" b="17780"/>
                <wp:wrapSquare wrapText="bothSides"/>
                <wp:docPr id="1" name="文本框 7"/>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【课程收益】</w:t>
                            </w:r>
                          </w:p>
                        </w:txbxContent>
                      </wps:txbx>
                      <wps:bodyPr wrap="square" upright="1"/>
                    </wps:wsp>
                  </a:graphicData>
                </a:graphic>
              </wp:anchor>
            </w:drawing>
          </mc:Choice>
          <mc:Fallback>
            <w:pict>
              <v:shape id="文本框 7" o:spid="_x0000_s1026" o:spt="202" type="#_x0000_t202" style="position:absolute;left:0pt;margin-left:7.8pt;margin-top:12.8pt;height:29.45pt;width:83.85pt;mso-wrap-distance-bottom:0pt;mso-wrap-distance-left:9pt;mso-wrap-distance-right:9pt;mso-wrap-distance-top:0pt;z-index:251659264;mso-width-relative:page;mso-height-relative:page;" fillcolor="#000000" filled="t" stroked="t" coordsize="21600,21600" o:gfxdata="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oHodzXAAAACAEAAA8AAAAA&#10;AAAAAQAgAAAAIgAAAGRycy9kb3ducmV2LnhtbFBLAQIUABQAAAAIAIdO4kA3cmPLFQIAAEQEAAAO&#10;AAAAAAAAAAEAIAAAACYBAABkcnMvZTJvRG9jLnhtbFBLBQYAAAAABgAGAFkBAACtBQ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【课程收益】</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pStyle w:val="12"/>
        <w:numPr>
          <w:ilvl w:val="0"/>
          <w:numId w:val="1"/>
        </w:numPr>
        <w:spacing w:line="360" w:lineRule="auto"/>
        <w:ind w:firstLineChars="0"/>
        <w:rPr>
          <w:rFonts w:ascii="微软雅黑" w:hAnsi="微软雅黑" w:eastAsia="微软雅黑" w:cs="微软雅黑"/>
          <w:sz w:val="24"/>
        </w:rPr>
      </w:pPr>
      <w:r>
        <w:rPr>
          <w:rFonts w:hint="eastAsia" w:ascii="微软雅黑" w:hAnsi="微软雅黑" w:eastAsia="微软雅黑" w:cs="微软雅黑"/>
          <w:sz w:val="24"/>
        </w:rPr>
        <w:t>深刻理解并体会工程管理各专业工程工艺工法和质量控制</w:t>
      </w:r>
    </w:p>
    <w:p>
      <w:pPr>
        <w:pStyle w:val="12"/>
        <w:numPr>
          <w:ilvl w:val="0"/>
          <w:numId w:val="1"/>
        </w:numPr>
        <w:spacing w:line="360" w:lineRule="auto"/>
        <w:ind w:firstLineChars="0"/>
        <w:rPr>
          <w:rFonts w:ascii="微软雅黑" w:hAnsi="微软雅黑" w:eastAsia="微软雅黑" w:cs="微软雅黑"/>
          <w:sz w:val="24"/>
        </w:rPr>
      </w:pPr>
      <w:r>
        <w:rPr>
          <w:rFonts w:hint="eastAsia" w:ascii="微软雅黑" w:hAnsi="微软雅黑" w:eastAsia="微软雅黑" w:cs="微软雅黑"/>
          <w:sz w:val="24"/>
        </w:rPr>
        <w:t>提高员工工程工艺基本操作管理意识</w:t>
      </w:r>
    </w:p>
    <w:p>
      <w:pPr>
        <w:pStyle w:val="12"/>
        <w:numPr>
          <w:ilvl w:val="0"/>
          <w:numId w:val="1"/>
        </w:numPr>
        <w:spacing w:line="360" w:lineRule="auto"/>
        <w:ind w:firstLineChars="0"/>
        <w:rPr>
          <w:rFonts w:ascii="微软雅黑" w:hAnsi="微软雅黑" w:eastAsia="微软雅黑" w:cs="微软雅黑"/>
          <w:sz w:val="24"/>
        </w:rPr>
      </w:pPr>
      <w:r>
        <w:rPr>
          <w:rFonts w:hint="eastAsia" w:ascii="微软雅黑" w:hAnsi="微软雅黑" w:eastAsia="微软雅黑" w:cs="微软雅黑"/>
          <w:sz w:val="24"/>
        </w:rPr>
        <w:t>强化员工工程流程和标准化的理念</w:t>
      </w:r>
    </w:p>
    <w:p>
      <w:pPr>
        <w:pStyle w:val="12"/>
        <w:numPr>
          <w:ilvl w:val="0"/>
          <w:numId w:val="1"/>
        </w:numPr>
        <w:spacing w:line="360" w:lineRule="auto"/>
        <w:ind w:firstLineChars="0"/>
        <w:rPr>
          <w:rFonts w:ascii="微软雅黑" w:hAnsi="微软雅黑" w:eastAsia="微软雅黑" w:cs="微软雅黑"/>
          <w:sz w:val="24"/>
        </w:rPr>
      </w:pPr>
      <w:r>
        <w:rPr>
          <w:rFonts w:hint="eastAsia" w:ascii="微软雅黑" w:hAnsi="微软雅黑" w:eastAsia="微软雅黑" w:cs="微软雅黑"/>
          <w:sz w:val="24"/>
        </w:rPr>
        <w:t>夯实员工管理基础</w:t>
      </w:r>
    </w:p>
    <w:p>
      <w:pPr>
        <w:pStyle w:val="12"/>
        <w:numPr>
          <w:ilvl w:val="0"/>
          <w:numId w:val="1"/>
        </w:numPr>
        <w:spacing w:line="360" w:lineRule="auto"/>
        <w:ind w:firstLineChars="0"/>
        <w:rPr>
          <w:rFonts w:hint="eastAsia" w:ascii="微软雅黑" w:hAnsi="微软雅黑" w:eastAsia="微软雅黑" w:cs="微软雅黑"/>
          <w:sz w:val="24"/>
        </w:rPr>
      </w:pPr>
      <w:r>
        <w:rPr>
          <w:rFonts w:hint="eastAsia" w:ascii="微软雅黑" w:hAnsi="微软雅黑" w:eastAsia="微软雅黑" w:cs="微软雅黑"/>
          <w:sz w:val="24"/>
        </w:rPr>
        <w:t>学习吸收标杆企业的优秀管理方法，取其精华，提高自身管理能力，提高企业质量管理体系</w:t>
      </w:r>
    </w:p>
    <w:p>
      <w:pPr>
        <w:pStyle w:val="12"/>
        <w:spacing w:line="480" w:lineRule="exact"/>
        <w:ind w:left="900" w:hanging="420" w:firstLineChars="0"/>
        <w:rPr>
          <w:rFonts w:hint="eastAsia" w:ascii="微软雅黑" w:hAnsi="微软雅黑" w:eastAsia="微软雅黑" w:cs="微软雅黑"/>
          <w:b/>
          <w:bCs/>
          <w:color w:val="FF0000"/>
          <w:sz w:val="28"/>
          <w:szCs w:val="28"/>
        </w:rPr>
      </w:pPr>
      <w:r>
        <w:rPr>
          <w:sz w:val="28"/>
          <w:szCs w:val="28"/>
        </w:rPr>
        <mc:AlternateContent>
          <mc:Choice Requires="wps">
            <w:drawing>
              <wp:anchor distT="0" distB="0" distL="114300" distR="114300" simplePos="0" relativeHeight="251660288" behindDoc="0" locked="0" layoutInCell="1" allowOverlap="1">
                <wp:simplePos x="0" y="0"/>
                <wp:positionH relativeFrom="column">
                  <wp:posOffset>128905</wp:posOffset>
                </wp:positionH>
                <wp:positionV relativeFrom="paragraph">
                  <wp:posOffset>85090</wp:posOffset>
                </wp:positionV>
                <wp:extent cx="1064895" cy="374015"/>
                <wp:effectExtent l="4445" t="4445" r="12700" b="17780"/>
                <wp:wrapSquare wrapText="bothSides"/>
                <wp:docPr id="2" name="文本框 8"/>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【课程对象】</w:t>
                            </w:r>
                          </w:p>
                        </w:txbxContent>
                      </wps:txbx>
                      <wps:bodyPr wrap="square" upright="1"/>
                    </wps:wsp>
                  </a:graphicData>
                </a:graphic>
              </wp:anchor>
            </w:drawing>
          </mc:Choice>
          <mc:Fallback>
            <w:pict>
              <v:shape id="文本框 8" o:spid="_x0000_s1026" o:spt="202" type="#_x0000_t202" style="position:absolute;left:0pt;margin-left:10.15pt;margin-top:6.7pt;height:29.45pt;width:83.85pt;mso-wrap-distance-bottom:0pt;mso-wrap-distance-left:9pt;mso-wrap-distance-right:9pt;mso-wrap-distance-top:0pt;z-index:251660288;mso-width-relative:page;mso-height-relative:page;" fillcolor="#000000" filled="t" stroked="t" coordsize="21600,21600" o:gfxdata="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vubf9cAAAAIAQAADwAA&#10;AAAAAAABACAAAAAiAAAAZHJzL2Rvd25yZXYueG1sUEsBAhQAFAAAAAgAh07iQNZBp4UXAgAARA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【课程对象】</w:t>
                      </w:r>
                    </w:p>
                  </w:txbxContent>
                </v:textbox>
                <w10:wrap type="square"/>
              </v:shape>
            </w:pict>
          </mc:Fallback>
        </mc:AlternateContent>
      </w:r>
    </w:p>
    <w:p>
      <w:pPr>
        <w:widowControl/>
        <w:shd w:val="clear" w:color="auto" w:fill="FFFFFF"/>
        <w:spacing w:line="480" w:lineRule="exact"/>
        <w:ind w:left="567" w:leftChars="270"/>
        <w:jc w:val="left"/>
        <w:rPr>
          <w:rFonts w:ascii="Verdana" w:hAnsi="Verdana" w:cs="Verdana"/>
          <w:color w:val="333333"/>
          <w:sz w:val="28"/>
          <w:szCs w:val="28"/>
        </w:rPr>
      </w:pPr>
    </w:p>
    <w:p>
      <w:pPr>
        <w:pStyle w:val="12"/>
        <w:spacing w:line="360" w:lineRule="auto"/>
        <w:ind w:left="426" w:firstLine="567" w:firstLineChars="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房地产企业董事长、总经理、总工、集团分管工程副总、项目总经理、工程总监、设计部经理、成本总监、成本部经理、工程部经理、造价工程师等。</w:t>
      </w:r>
    </w:p>
    <w:p>
      <w:pPr>
        <w:spacing w:line="440" w:lineRule="exact"/>
        <w:ind w:left="567" w:leftChars="270"/>
        <w:rPr>
          <w:rFonts w:hint="eastAsia" w:ascii="微软雅黑" w:hAnsi="微软雅黑" w:eastAsia="微软雅黑" w:cs="微软雅黑"/>
          <w:b/>
          <w:bCs/>
          <w:color w:val="FF0000"/>
          <w:sz w:val="28"/>
          <w:szCs w:val="28"/>
        </w:rPr>
      </w:pPr>
    </w:p>
    <w:p>
      <w:pPr>
        <w:widowControl/>
        <w:spacing w:line="440" w:lineRule="exact"/>
        <w:ind w:left="567" w:leftChars="270"/>
        <w:jc w:val="left"/>
        <w:rPr>
          <w:rFonts w:hint="eastAsia"/>
          <w:sz w:val="28"/>
          <w:szCs w:val="28"/>
        </w:rPr>
      </w:pPr>
      <w:r>
        <w:rPr>
          <w:sz w:val="28"/>
          <w:szCs w:val="28"/>
        </w:rPr>
        <mc:AlternateContent>
          <mc:Choice Requires="wps">
            <w:drawing>
              <wp:anchor distT="0" distB="0" distL="114300" distR="114300" simplePos="0" relativeHeight="251661312" behindDoc="0" locked="0" layoutInCell="1" allowOverlap="1">
                <wp:simplePos x="0" y="0"/>
                <wp:positionH relativeFrom="column">
                  <wp:posOffset>123825</wp:posOffset>
                </wp:positionH>
                <wp:positionV relativeFrom="paragraph">
                  <wp:posOffset>135255</wp:posOffset>
                </wp:positionV>
                <wp:extent cx="1064895" cy="374015"/>
                <wp:effectExtent l="4445" t="4445" r="12700" b="17780"/>
                <wp:wrapSquare wrapText="bothSides"/>
                <wp:docPr id="3" name="文本框 9"/>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【课程大纲】</w:t>
                            </w:r>
                          </w:p>
                        </w:txbxContent>
                      </wps:txbx>
                      <wps:bodyPr wrap="square" upright="1"/>
                    </wps:wsp>
                  </a:graphicData>
                </a:graphic>
              </wp:anchor>
            </w:drawing>
          </mc:Choice>
          <mc:Fallback>
            <w:pict>
              <v:shape id="文本框 9" o:spid="_x0000_s1026" o:spt="202" type="#_x0000_t202" style="position:absolute;left:0pt;margin-left:9.75pt;margin-top:10.65pt;height:29.45pt;width:83.85pt;mso-wrap-distance-bottom:0pt;mso-wrap-distance-left:9pt;mso-wrap-distance-right:9pt;mso-wrap-distance-top:0pt;z-index:251661312;mso-width-relative:page;mso-height-relative:page;" fillcolor="#000000" filled="t" stroked="t" coordsize="21600,21600" o:gfxdata="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uAP8tYAAAAIAQAADwAA&#10;AAAAAAABACAAAAAiAAAAZHJzL2Rvd25yZXYueG1sUEsBAhQAFAAAAAgAh07iQJyJMtMYAgAARAQA&#10;AA4AAAAAAAAAAQAgAAAAJQ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【课程大纲】</w:t>
                      </w:r>
                    </w:p>
                  </w:txbxContent>
                </v:textbox>
                <w10:wrap type="square"/>
              </v:shape>
            </w:pict>
          </mc:Fallback>
        </mc:AlternateContent>
      </w:r>
    </w:p>
    <w:p>
      <w:pPr>
        <w:spacing w:line="440" w:lineRule="exact"/>
        <w:ind w:left="567" w:leftChars="270"/>
        <w:rPr>
          <w:rFonts w:hint="eastAsia" w:ascii="微软雅黑" w:hAnsi="微软雅黑" w:eastAsia="微软雅黑" w:cs="微软雅黑"/>
          <w:b/>
          <w:color w:val="FF0000"/>
          <w:sz w:val="28"/>
          <w:szCs w:val="28"/>
        </w:rPr>
      </w:pP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第一部分：建筑屋面零渗漏节点</w:t>
      </w:r>
    </w:p>
    <w:p>
      <w:pPr>
        <w:spacing w:line="360" w:lineRule="auto"/>
        <w:rPr>
          <w:rFonts w:hint="eastAsia" w:ascii="微软雅黑" w:hAnsi="微软雅黑" w:eastAsia="微软雅黑" w:cs="微软雅黑"/>
          <w:b/>
          <w:sz w:val="24"/>
        </w:rPr>
      </w:pPr>
      <w:r>
        <w:rPr>
          <w:rFonts w:hint="eastAsia" w:ascii="微软雅黑" w:hAnsi="微软雅黑" w:eastAsia="微软雅黑" w:cs="微软雅黑"/>
          <w:b/>
          <w:color w:val="FF0000"/>
          <w:sz w:val="24"/>
        </w:rPr>
        <w:t xml:space="preserve">    </w:t>
      </w:r>
      <w:r>
        <w:rPr>
          <w:rFonts w:hint="eastAsia" w:ascii="微软雅黑" w:hAnsi="微软雅黑" w:eastAsia="微软雅黑" w:cs="微软雅黑"/>
          <w:b/>
          <w:sz w:val="24"/>
        </w:rPr>
        <w:t xml:space="preserve"> 零渗漏原则——防排结合、以排为主、刚柔相济、综合治理。</w:t>
      </w:r>
    </w:p>
    <w:p>
      <w:pPr>
        <w:pStyle w:val="12"/>
        <w:numPr>
          <w:ilvl w:val="0"/>
          <w:numId w:val="2"/>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屋面面层零渗漏节点：倒置式上人平屋面、自天沟零渗漏构造设计；混泥土结构自防水、结构裂缝加固案例;</w:t>
      </w:r>
    </w:p>
    <w:p>
      <w:pPr>
        <w:pStyle w:val="12"/>
        <w:numPr>
          <w:ilvl w:val="0"/>
          <w:numId w:val="2"/>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屋面墙体零渗漏节点：零渗漏设计构造及渗漏维修案例。</w:t>
      </w:r>
    </w:p>
    <w:p>
      <w:pPr>
        <w:pStyle w:val="12"/>
        <w:numPr>
          <w:ilvl w:val="0"/>
          <w:numId w:val="2"/>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女儿墙零渗漏节点：女儿墙及其止水螺杆、坡屋面檐口零渗漏设计构造及渗漏维修案例。</w:t>
      </w:r>
    </w:p>
    <w:p>
      <w:pPr>
        <w:pStyle w:val="12"/>
        <w:numPr>
          <w:ilvl w:val="0"/>
          <w:numId w:val="2"/>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出屋面结构墙体、变形缝零渗漏节点：出屋面结构墙体、变形缝零渗漏设计构造及案例。</w:t>
      </w:r>
    </w:p>
    <w:p>
      <w:pPr>
        <w:pStyle w:val="12"/>
        <w:numPr>
          <w:ilvl w:val="0"/>
          <w:numId w:val="2"/>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出屋面门洞下槛、雨落口零渗漏节点：出屋面门下槛零渗漏设计构造及外墙门洞口渗漏案例；出屋面雨落口、屋面水簸箕零渗漏设计构造及节点案例。</w:t>
      </w:r>
    </w:p>
    <w:p>
      <w:pPr>
        <w:pStyle w:val="12"/>
        <w:numPr>
          <w:ilvl w:val="0"/>
          <w:numId w:val="2"/>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屋面保温排水零渗漏节点：屋面保温板排水构造。</w:t>
      </w:r>
    </w:p>
    <w:p>
      <w:pPr>
        <w:pStyle w:val="12"/>
        <w:numPr>
          <w:ilvl w:val="0"/>
          <w:numId w:val="2"/>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出屋面管道零渗漏节点：出屋面烟风道、排气管道零渗漏设计构造及案例。</w:t>
      </w:r>
    </w:p>
    <w:p>
      <w:pPr>
        <w:pStyle w:val="12"/>
        <w:numPr>
          <w:ilvl w:val="0"/>
          <w:numId w:val="2"/>
        </w:numPr>
        <w:spacing w:line="360" w:lineRule="auto"/>
        <w:ind w:firstLineChars="0"/>
        <w:jc w:val="left"/>
        <w:rPr>
          <w:rFonts w:ascii="微软雅黑" w:hAnsi="微软雅黑" w:eastAsia="微软雅黑" w:cs="微软雅黑"/>
          <w:b/>
          <w:sz w:val="24"/>
        </w:rPr>
      </w:pPr>
      <w:r>
        <w:rPr>
          <w:rFonts w:hint="eastAsia" w:ascii="微软雅黑" w:hAnsi="微软雅黑" w:eastAsia="微软雅黑" w:cs="微软雅黑"/>
          <w:b/>
          <w:sz w:val="24"/>
        </w:rPr>
        <w:t>出屋面设备基础及管根零渗漏节点：出屋面设备设施基础零渗漏设计构造及线管零渗漏、洞口预留封堵渗漏案例。</w:t>
      </w:r>
    </w:p>
    <w:p>
      <w:pPr>
        <w:spacing w:line="480" w:lineRule="exact"/>
        <w:rPr>
          <w:rFonts w:ascii="微软雅黑" w:hAnsi="微软雅黑" w:eastAsia="微软雅黑" w:cs="微软雅黑"/>
          <w:b/>
          <w:sz w:val="24"/>
        </w:rPr>
      </w:pPr>
      <w:r>
        <w:rPr>
          <w:rFonts w:hint="eastAsia" w:ascii="微软雅黑" w:hAnsi="微软雅黑" w:eastAsia="微软雅黑" w:cs="微软雅黑"/>
          <w:b/>
          <w:color w:val="FF0000"/>
          <w:sz w:val="24"/>
        </w:rPr>
        <w:t>第二部分</w:t>
      </w:r>
      <w:r>
        <w:rPr>
          <w:rFonts w:ascii="微软雅黑" w:hAnsi="微软雅黑" w:eastAsia="微软雅黑" w:cs="微软雅黑"/>
          <w:b/>
          <w:color w:val="FF0000"/>
          <w:sz w:val="24"/>
        </w:rPr>
        <w:t>：</w:t>
      </w:r>
      <w:r>
        <w:rPr>
          <w:rFonts w:hint="eastAsia" w:ascii="微软雅黑" w:hAnsi="微软雅黑" w:eastAsia="微软雅黑" w:cs="微软雅黑"/>
          <w:b/>
          <w:color w:val="FF0000"/>
          <w:sz w:val="24"/>
        </w:rPr>
        <w:t>建筑墙面零渗漏节点</w:t>
      </w:r>
    </w:p>
    <w:p>
      <w:pPr>
        <w:pStyle w:val="12"/>
        <w:numPr>
          <w:ilvl w:val="0"/>
          <w:numId w:val="3"/>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建筑外墙面零渗漏节点：无外保温砌体外墙涂料、</w:t>
      </w:r>
      <w:r>
        <w:rPr>
          <w:rFonts w:ascii="微软雅黑" w:hAnsi="微软雅黑" w:eastAsia="微软雅黑" w:cs="微软雅黑"/>
          <w:b/>
          <w:sz w:val="24"/>
        </w:rPr>
        <w:t>干挂幕墙、块材</w:t>
      </w:r>
      <w:r>
        <w:rPr>
          <w:rFonts w:hint="eastAsia" w:ascii="微软雅黑" w:hAnsi="微软雅黑" w:eastAsia="微软雅黑" w:cs="微软雅黑"/>
          <w:b/>
          <w:sz w:val="24"/>
        </w:rPr>
        <w:t>饰面防水构造及</w:t>
      </w:r>
      <w:r>
        <w:rPr>
          <w:rFonts w:ascii="微软雅黑" w:hAnsi="微软雅黑" w:eastAsia="微软雅黑" w:cs="微软雅黑"/>
          <w:b/>
          <w:sz w:val="24"/>
        </w:rPr>
        <w:t>案例；</w:t>
      </w:r>
      <w:r>
        <w:rPr>
          <w:rFonts w:hint="eastAsia" w:ascii="微软雅黑" w:hAnsi="微软雅黑" w:eastAsia="微软雅黑" w:cs="微软雅黑"/>
          <w:b/>
          <w:sz w:val="24"/>
        </w:rPr>
        <w:t>外墙砌体施工</w:t>
      </w:r>
      <w:r>
        <w:rPr>
          <w:rFonts w:ascii="微软雅黑" w:hAnsi="微软雅黑" w:eastAsia="微软雅黑" w:cs="微软雅黑"/>
          <w:b/>
          <w:sz w:val="24"/>
        </w:rPr>
        <w:t>洞留设</w:t>
      </w:r>
      <w:r>
        <w:rPr>
          <w:rFonts w:hint="eastAsia" w:ascii="微软雅黑" w:hAnsi="微软雅黑" w:eastAsia="微软雅黑" w:cs="微软雅黑"/>
          <w:b/>
          <w:sz w:val="24"/>
        </w:rPr>
        <w:t>封堵</w:t>
      </w:r>
      <w:r>
        <w:rPr>
          <w:rFonts w:ascii="微软雅黑" w:hAnsi="微软雅黑" w:eastAsia="微软雅黑" w:cs="微软雅黑"/>
          <w:b/>
          <w:sz w:val="24"/>
        </w:rPr>
        <w:t>、</w:t>
      </w:r>
      <w:r>
        <w:rPr>
          <w:rFonts w:hint="eastAsia" w:ascii="微软雅黑" w:hAnsi="微软雅黑" w:eastAsia="微软雅黑" w:cs="微软雅黑"/>
          <w:b/>
          <w:sz w:val="24"/>
        </w:rPr>
        <w:t>楼板根部、</w:t>
      </w:r>
      <w:r>
        <w:rPr>
          <w:rFonts w:ascii="微软雅黑" w:hAnsi="微软雅黑" w:eastAsia="微软雅黑" w:cs="微软雅黑"/>
          <w:b/>
          <w:sz w:val="24"/>
        </w:rPr>
        <w:t>外墙分隔缝、</w:t>
      </w:r>
      <w:r>
        <w:rPr>
          <w:rFonts w:hint="eastAsia" w:ascii="微软雅黑" w:hAnsi="微软雅黑" w:eastAsia="微软雅黑" w:cs="微软雅黑"/>
          <w:b/>
          <w:sz w:val="24"/>
        </w:rPr>
        <w:t>混泥土</w:t>
      </w:r>
      <w:r>
        <w:rPr>
          <w:rFonts w:ascii="微软雅黑" w:hAnsi="微软雅黑" w:eastAsia="微软雅黑" w:cs="微软雅黑"/>
          <w:b/>
          <w:sz w:val="24"/>
        </w:rPr>
        <w:t>墙螺栓孔</w:t>
      </w:r>
      <w:r>
        <w:rPr>
          <w:rFonts w:hint="eastAsia" w:ascii="微软雅黑" w:hAnsi="微软雅黑" w:eastAsia="微软雅黑" w:cs="微软雅黑"/>
          <w:b/>
          <w:sz w:val="24"/>
        </w:rPr>
        <w:t>、砌体墙面不同材质交接处防渗漏构造和</w:t>
      </w:r>
      <w:r>
        <w:rPr>
          <w:rFonts w:ascii="微软雅黑" w:hAnsi="微软雅黑" w:eastAsia="微软雅黑" w:cs="微软雅黑"/>
          <w:b/>
          <w:sz w:val="24"/>
        </w:rPr>
        <w:t>案例分析；砼墙螺栓孔零渗漏节点。</w:t>
      </w:r>
    </w:p>
    <w:p>
      <w:pPr>
        <w:pStyle w:val="12"/>
        <w:numPr>
          <w:ilvl w:val="0"/>
          <w:numId w:val="3"/>
        </w:numPr>
        <w:spacing w:line="360" w:lineRule="auto"/>
        <w:ind w:firstLineChars="0"/>
        <w:jc w:val="left"/>
        <w:rPr>
          <w:rFonts w:ascii="微软雅黑" w:hAnsi="微软雅黑" w:eastAsia="微软雅黑" w:cs="微软雅黑"/>
          <w:b/>
          <w:sz w:val="24"/>
        </w:rPr>
      </w:pPr>
      <w:r>
        <w:rPr>
          <w:rFonts w:hint="eastAsia" w:ascii="微软雅黑" w:hAnsi="微软雅黑" w:eastAsia="微软雅黑" w:cs="微软雅黑"/>
          <w:b/>
          <w:sz w:val="24"/>
        </w:rPr>
        <w:t>外墙线条零渗漏节点：</w:t>
      </w:r>
      <w:r>
        <w:rPr>
          <w:rFonts w:ascii="微软雅黑" w:hAnsi="微软雅黑" w:eastAsia="微软雅黑" w:cs="微软雅黑"/>
          <w:b/>
          <w:sz w:val="24"/>
        </w:rPr>
        <w:t>外墙线条防渗漏构造及案例。</w:t>
      </w:r>
    </w:p>
    <w:p>
      <w:pPr>
        <w:pStyle w:val="12"/>
        <w:numPr>
          <w:ilvl w:val="0"/>
          <w:numId w:val="3"/>
        </w:numPr>
        <w:spacing w:line="360" w:lineRule="auto"/>
        <w:ind w:firstLineChars="0"/>
        <w:jc w:val="left"/>
        <w:rPr>
          <w:rFonts w:ascii="微软雅黑" w:hAnsi="微软雅黑" w:eastAsia="微软雅黑" w:cs="微软雅黑"/>
          <w:b/>
          <w:sz w:val="24"/>
        </w:rPr>
      </w:pPr>
      <w:r>
        <w:rPr>
          <w:rFonts w:hint="eastAsia" w:ascii="微软雅黑" w:hAnsi="微软雅黑" w:eastAsia="微软雅黑" w:cs="微软雅黑"/>
          <w:b/>
          <w:sz w:val="24"/>
        </w:rPr>
        <w:t>外墙空调板零渗漏节点：</w:t>
      </w:r>
      <w:r>
        <w:rPr>
          <w:rFonts w:ascii="微软雅黑" w:hAnsi="微软雅黑" w:eastAsia="微软雅黑" w:cs="微软雅黑"/>
          <w:b/>
          <w:sz w:val="24"/>
        </w:rPr>
        <w:t>外墙空调板、空调机位零渗漏设计构造</w:t>
      </w:r>
      <w:r>
        <w:rPr>
          <w:rFonts w:hint="eastAsia" w:ascii="微软雅黑" w:hAnsi="微软雅黑" w:eastAsia="微软雅黑" w:cs="微软雅黑"/>
          <w:b/>
          <w:sz w:val="24"/>
        </w:rPr>
        <w:t>及</w:t>
      </w:r>
      <w:r>
        <w:rPr>
          <w:rFonts w:ascii="微软雅黑" w:hAnsi="微软雅黑" w:eastAsia="微软雅黑" w:cs="微软雅黑"/>
          <w:b/>
          <w:sz w:val="24"/>
        </w:rPr>
        <w:t>案例。</w:t>
      </w:r>
    </w:p>
    <w:p>
      <w:pPr>
        <w:pStyle w:val="12"/>
        <w:numPr>
          <w:ilvl w:val="0"/>
          <w:numId w:val="3"/>
        </w:numPr>
        <w:spacing w:line="360" w:lineRule="auto"/>
        <w:ind w:firstLineChars="0"/>
        <w:jc w:val="left"/>
        <w:rPr>
          <w:rFonts w:ascii="微软雅黑" w:hAnsi="微软雅黑" w:eastAsia="微软雅黑" w:cs="微软雅黑"/>
          <w:b/>
          <w:sz w:val="24"/>
        </w:rPr>
      </w:pPr>
      <w:r>
        <w:rPr>
          <w:rFonts w:ascii="微软雅黑" w:hAnsi="微软雅黑" w:eastAsia="微软雅黑" w:cs="微软雅黑"/>
          <w:b/>
          <w:sz w:val="24"/>
        </w:rPr>
        <w:t>外墙雨棚零渗漏节点：</w:t>
      </w:r>
      <w:r>
        <w:rPr>
          <w:rFonts w:hint="eastAsia" w:ascii="微软雅黑" w:hAnsi="微软雅黑" w:eastAsia="微软雅黑" w:cs="微软雅黑"/>
          <w:b/>
          <w:sz w:val="24"/>
        </w:rPr>
        <w:t>外墙</w:t>
      </w:r>
      <w:r>
        <w:rPr>
          <w:rFonts w:ascii="微软雅黑" w:hAnsi="微软雅黑" w:eastAsia="微软雅黑" w:cs="微软雅黑"/>
          <w:b/>
          <w:sz w:val="24"/>
        </w:rPr>
        <w:t>雨棚零渗漏设计构造及案例。</w:t>
      </w:r>
    </w:p>
    <w:p>
      <w:pPr>
        <w:pStyle w:val="12"/>
        <w:numPr>
          <w:ilvl w:val="0"/>
          <w:numId w:val="3"/>
        </w:numPr>
        <w:spacing w:line="360" w:lineRule="auto"/>
        <w:ind w:firstLineChars="0"/>
        <w:jc w:val="left"/>
        <w:rPr>
          <w:rFonts w:ascii="微软雅黑" w:hAnsi="微软雅黑" w:eastAsia="微软雅黑" w:cs="微软雅黑"/>
          <w:b/>
          <w:sz w:val="24"/>
        </w:rPr>
      </w:pPr>
      <w:r>
        <w:rPr>
          <w:rFonts w:ascii="微软雅黑" w:hAnsi="微软雅黑" w:eastAsia="微软雅黑" w:cs="微软雅黑"/>
          <w:b/>
          <w:sz w:val="24"/>
        </w:rPr>
        <w:t>外墙阳台零渗漏节点：阳台墙面和门下槛、排水管渗漏构造及案例分析。</w:t>
      </w:r>
    </w:p>
    <w:p>
      <w:pPr>
        <w:pStyle w:val="12"/>
        <w:numPr>
          <w:ilvl w:val="0"/>
          <w:numId w:val="3"/>
        </w:numPr>
        <w:spacing w:line="360" w:lineRule="auto"/>
        <w:ind w:firstLineChars="0"/>
        <w:jc w:val="left"/>
        <w:rPr>
          <w:rFonts w:ascii="微软雅黑" w:hAnsi="微软雅黑" w:eastAsia="微软雅黑" w:cs="微软雅黑"/>
          <w:b/>
          <w:sz w:val="24"/>
        </w:rPr>
      </w:pPr>
      <w:r>
        <w:rPr>
          <w:rFonts w:ascii="微软雅黑" w:hAnsi="微软雅黑" w:eastAsia="微软雅黑" w:cs="微软雅黑"/>
          <w:b/>
          <w:sz w:val="24"/>
        </w:rPr>
        <w:t>外窗零渗漏节点：窗台梁渗漏案例；外墙开窗</w:t>
      </w:r>
      <w:r>
        <w:rPr>
          <w:rFonts w:hint="eastAsia" w:ascii="微软雅黑" w:hAnsi="微软雅黑" w:eastAsia="微软雅黑" w:cs="微软雅黑"/>
          <w:b/>
          <w:sz w:val="24"/>
        </w:rPr>
        <w:t>、</w:t>
      </w:r>
      <w:r>
        <w:rPr>
          <w:rFonts w:ascii="微软雅黑" w:hAnsi="微软雅黑" w:eastAsia="微软雅黑" w:cs="微软雅黑"/>
          <w:b/>
          <w:sz w:val="24"/>
        </w:rPr>
        <w:t>外窗企口</w:t>
      </w:r>
      <w:r>
        <w:rPr>
          <w:rFonts w:hint="eastAsia" w:ascii="微软雅黑" w:hAnsi="微软雅黑" w:eastAsia="微软雅黑" w:cs="微软雅黑"/>
          <w:b/>
          <w:sz w:val="24"/>
        </w:rPr>
        <w:t>反槛、型材</w:t>
      </w:r>
      <w:r>
        <w:rPr>
          <w:rFonts w:ascii="微软雅黑" w:hAnsi="微软雅黑" w:eastAsia="微软雅黑" w:cs="微软雅黑"/>
          <w:b/>
          <w:sz w:val="24"/>
        </w:rPr>
        <w:t>拼接、混泥土</w:t>
      </w:r>
      <w:r>
        <w:rPr>
          <w:rFonts w:hint="eastAsia" w:ascii="微软雅黑" w:hAnsi="微软雅黑" w:eastAsia="微软雅黑" w:cs="微软雅黑"/>
          <w:b/>
          <w:sz w:val="24"/>
        </w:rPr>
        <w:t>外窗挑檐防</w:t>
      </w:r>
      <w:r>
        <w:rPr>
          <w:rFonts w:ascii="微软雅黑" w:hAnsi="微软雅黑" w:eastAsia="微软雅黑" w:cs="微软雅黑"/>
          <w:b/>
          <w:sz w:val="24"/>
        </w:rPr>
        <w:t>渗漏构造及案例</w:t>
      </w:r>
      <w:r>
        <w:rPr>
          <w:rFonts w:hint="eastAsia" w:ascii="微软雅黑" w:hAnsi="微软雅黑" w:eastAsia="微软雅黑" w:cs="微软雅黑"/>
          <w:b/>
          <w:sz w:val="24"/>
        </w:rPr>
        <w:t>。</w:t>
      </w:r>
    </w:p>
    <w:p>
      <w:pPr>
        <w:pStyle w:val="12"/>
        <w:numPr>
          <w:ilvl w:val="0"/>
          <w:numId w:val="3"/>
        </w:numPr>
        <w:spacing w:line="360" w:lineRule="auto"/>
        <w:ind w:firstLineChars="0"/>
        <w:jc w:val="left"/>
        <w:rPr>
          <w:rFonts w:ascii="微软雅黑" w:hAnsi="微软雅黑" w:eastAsia="微软雅黑" w:cs="微软雅黑"/>
          <w:b/>
          <w:sz w:val="24"/>
        </w:rPr>
      </w:pPr>
      <w:r>
        <w:rPr>
          <w:rFonts w:ascii="微软雅黑" w:hAnsi="微软雅黑" w:eastAsia="微软雅黑" w:cs="微软雅黑"/>
          <w:b/>
          <w:sz w:val="24"/>
        </w:rPr>
        <w:t>外墙穿墙管道零渗漏节点：外墙穿墙空调管、脚手架预留洞封堵、构造柱零渗漏节点案例。</w:t>
      </w:r>
    </w:p>
    <w:p>
      <w:pPr>
        <w:pStyle w:val="12"/>
        <w:numPr>
          <w:ilvl w:val="0"/>
          <w:numId w:val="3"/>
        </w:numPr>
        <w:spacing w:line="360" w:lineRule="auto"/>
        <w:ind w:firstLineChars="0"/>
        <w:jc w:val="left"/>
        <w:rPr>
          <w:rFonts w:ascii="微软雅黑" w:hAnsi="微软雅黑" w:eastAsia="微软雅黑" w:cs="微软雅黑"/>
          <w:b/>
          <w:sz w:val="24"/>
        </w:rPr>
      </w:pPr>
      <w:r>
        <w:rPr>
          <w:rFonts w:ascii="微软雅黑" w:hAnsi="微软雅黑" w:eastAsia="微软雅黑" w:cs="微软雅黑"/>
          <w:b/>
          <w:sz w:val="24"/>
        </w:rPr>
        <w:t>外墙排水沟零渗漏节点：外墙散水沟零渗漏</w:t>
      </w:r>
      <w:r>
        <w:rPr>
          <w:rFonts w:hint="eastAsia" w:ascii="微软雅黑" w:hAnsi="微软雅黑" w:eastAsia="微软雅黑" w:cs="微软雅黑"/>
          <w:b/>
          <w:sz w:val="24"/>
        </w:rPr>
        <w:t>节点</w:t>
      </w:r>
      <w:r>
        <w:rPr>
          <w:rFonts w:ascii="微软雅黑" w:hAnsi="微软雅黑" w:eastAsia="微软雅黑" w:cs="微软雅黑"/>
          <w:b/>
          <w:sz w:val="24"/>
        </w:rPr>
        <w:t>。</w:t>
      </w:r>
    </w:p>
    <w:p>
      <w:pPr>
        <w:pStyle w:val="12"/>
        <w:numPr>
          <w:ilvl w:val="0"/>
          <w:numId w:val="3"/>
        </w:numPr>
        <w:spacing w:line="360" w:lineRule="auto"/>
        <w:ind w:firstLineChars="0"/>
        <w:jc w:val="left"/>
        <w:rPr>
          <w:rFonts w:hint="eastAsia" w:ascii="微软雅黑" w:hAnsi="微软雅黑" w:eastAsia="微软雅黑" w:cs="微软雅黑"/>
          <w:b/>
          <w:sz w:val="24"/>
        </w:rPr>
      </w:pPr>
      <w:r>
        <w:rPr>
          <w:rFonts w:ascii="微软雅黑" w:hAnsi="微软雅黑" w:eastAsia="微软雅黑" w:cs="微软雅黑"/>
          <w:b/>
          <w:sz w:val="24"/>
        </w:rPr>
        <w:t>外墙</w:t>
      </w:r>
      <w:r>
        <w:rPr>
          <w:rFonts w:hint="eastAsia" w:ascii="微软雅黑" w:hAnsi="微软雅黑" w:eastAsia="微软雅黑" w:cs="微软雅黑"/>
          <w:b/>
          <w:sz w:val="24"/>
        </w:rPr>
        <w:t>防水</w:t>
      </w:r>
      <w:r>
        <w:rPr>
          <w:rFonts w:ascii="微软雅黑" w:hAnsi="微软雅黑" w:eastAsia="微软雅黑" w:cs="微软雅黑"/>
          <w:b/>
          <w:sz w:val="24"/>
        </w:rPr>
        <w:t>收口零渗漏节点：首层外墙防水收口、采光窗零渗漏节点案例。</w:t>
      </w:r>
    </w:p>
    <w:p>
      <w:pPr>
        <w:spacing w:line="360" w:lineRule="auto"/>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第三部分：室内建筑防水施工工艺：</w:t>
      </w:r>
    </w:p>
    <w:p>
      <w:pPr>
        <w:pStyle w:val="12"/>
        <w:numPr>
          <w:ilvl w:val="0"/>
          <w:numId w:val="4"/>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涂膜防水原料管理：防水涂料选用要求。</w:t>
      </w:r>
    </w:p>
    <w:p>
      <w:pPr>
        <w:pStyle w:val="12"/>
        <w:numPr>
          <w:ilvl w:val="0"/>
          <w:numId w:val="4"/>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涂膜防水施工工艺：工艺流程  基层验收→基层清理、修补→喷（涂）基层处理剂→特殊部位加强处理（铺贴胎体加强材料）→涂刷防水涂料→涂刷防水材料至设计厚度→收头处理、节点密封→清理、检查、修整→保护层施工→验收。</w:t>
      </w:r>
    </w:p>
    <w:p>
      <w:pPr>
        <w:pStyle w:val="12"/>
        <w:numPr>
          <w:ilvl w:val="0"/>
          <w:numId w:val="4"/>
        </w:numPr>
        <w:spacing w:line="360" w:lineRule="auto"/>
        <w:ind w:firstLineChars="0"/>
        <w:jc w:val="left"/>
        <w:rPr>
          <w:rFonts w:ascii="微软雅黑" w:hAnsi="微软雅黑" w:eastAsia="微软雅黑" w:cs="微软雅黑"/>
          <w:b/>
          <w:sz w:val="24"/>
        </w:rPr>
      </w:pPr>
      <w:r>
        <w:rPr>
          <w:rFonts w:hint="eastAsia" w:ascii="微软雅黑" w:hAnsi="微软雅黑" w:eastAsia="微软雅黑" w:cs="微软雅黑"/>
          <w:b/>
          <w:sz w:val="24"/>
        </w:rPr>
        <w:t>厨卫间节点构造做法：特殊部位加强处理；非精装与精装卫生间、淋浴间零渗漏节点及案例分析；厨卫间管根渗漏节点及案例分析。</w:t>
      </w:r>
    </w:p>
    <w:p>
      <w:pPr>
        <w:spacing w:line="360" w:lineRule="auto"/>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第四部分：地下建筑防水施工工艺</w:t>
      </w:r>
    </w:p>
    <w:p>
      <w:pPr>
        <w:pStyle w:val="12"/>
        <w:numPr>
          <w:ilvl w:val="0"/>
          <w:numId w:val="5"/>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卷材原料管理：进场验收—文件检查；防水卷材、止水钢板、遇水膨胀止水条等材料。</w:t>
      </w:r>
    </w:p>
    <w:p>
      <w:pPr>
        <w:pStyle w:val="12"/>
        <w:numPr>
          <w:ilvl w:val="0"/>
          <w:numId w:val="5"/>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地下结构自防水：混泥土设计要求、施工准备；模板施工穿墙螺栓零渗漏节点及案例分析；地下自防水工程施工工艺及质量验收。</w:t>
      </w:r>
    </w:p>
    <w:p>
      <w:pPr>
        <w:pStyle w:val="12"/>
        <w:numPr>
          <w:ilvl w:val="0"/>
          <w:numId w:val="5"/>
        </w:numPr>
        <w:spacing w:line="360" w:lineRule="auto"/>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卷材防水：施工流程  基坑开挖→垫层施工→砌筑卷材保护墙→基层处理→C20 细石混凝土防水保护层→底板卷材铺贴→底板混凝土施工；外墙基层清理→20 厚 1：2.5 水泥砂浆找平层→外墙卷材附加层铺贴→外墙卷材铺贴→抹砂浆保护层→粘贴保温板+砖砌保护层→土方回填。</w:t>
      </w:r>
    </w:p>
    <w:p>
      <w:pPr>
        <w:pStyle w:val="12"/>
        <w:numPr>
          <w:ilvl w:val="0"/>
          <w:numId w:val="5"/>
        </w:numPr>
        <w:spacing w:line="360" w:lineRule="auto"/>
        <w:ind w:firstLineChars="0"/>
        <w:jc w:val="left"/>
        <w:rPr>
          <w:rFonts w:ascii="微软雅黑" w:hAnsi="微软雅黑" w:eastAsia="微软雅黑" w:cs="微软雅黑"/>
          <w:b/>
          <w:sz w:val="24"/>
        </w:rPr>
      </w:pPr>
      <w:r>
        <w:rPr>
          <w:rFonts w:hint="eastAsia" w:ascii="微软雅黑" w:hAnsi="微软雅黑" w:eastAsia="微软雅黑" w:cs="微软雅黑"/>
          <w:b/>
          <w:sz w:val="24"/>
        </w:rPr>
        <w:t>地下建筑防水节点做法：地下建筑底板、承台桩头、抗浮锚杆零渗漏节点及案例分析；桩头防水工艺/注意事项/质量验收/措施；施工缝、后浇带、变形缝、预埋件、穿墙管等特殊部位防水要求及案例分析；出墙体集束管道零渗漏节点建议；顶板构造做法及案例。</w:t>
      </w:r>
    </w:p>
    <w:p>
      <w:pPr>
        <w:pStyle w:val="12"/>
        <w:ind w:left="1260" w:firstLine="0" w:firstLineChars="0"/>
        <w:rPr>
          <w:rFonts w:ascii="微软雅黑" w:hAnsi="微软雅黑" w:eastAsia="微软雅黑" w:cs="微软雅黑"/>
          <w:b/>
          <w:sz w:val="24"/>
        </w:rPr>
      </w:pPr>
    </w:p>
    <w:p>
      <w:pPr>
        <w:adjustRightInd w:val="0"/>
        <w:snapToGrid w:val="0"/>
        <w:spacing w:line="288" w:lineRule="auto"/>
        <w:ind w:left="1418" w:hanging="567"/>
        <w:jc w:val="center"/>
        <w:rPr>
          <w:rFonts w:ascii="微软雅黑" w:hAnsi="微软雅黑" w:eastAsia="微软雅黑" w:cs="宋体"/>
          <w:b/>
          <w:color w:val="404040"/>
          <w:spacing w:val="10"/>
          <w:szCs w:val="21"/>
        </w:rPr>
      </w:pPr>
      <w:r>
        <w:rPr>
          <w:rFonts w:ascii="微软雅黑" w:hAnsi="微软雅黑" w:eastAsia="微软雅黑" w:cs="微软雅黑"/>
          <w:sz w:val="28"/>
          <w:szCs w:val="28"/>
        </w:rPr>
        <w:br w:type="page"/>
      </w:r>
      <w:r>
        <w:rPr>
          <w:rFonts w:ascii="微软雅黑" w:hAnsi="微软雅黑" w:eastAsia="微软雅黑" w:cs="宋体"/>
          <w:b/>
          <w:color w:val="404040"/>
          <w:spacing w:val="10"/>
          <w:szCs w:val="21"/>
          <w:lang/>
        </w:rPr>
        <w:drawing>
          <wp:inline distT="0" distB="0" distL="114300" distR="114300">
            <wp:extent cx="6199505" cy="394970"/>
            <wp:effectExtent l="0" t="0" r="3175"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6"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2"/>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0"/>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5"/>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4"/>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szCs w:val="21"/>
          <w:highlight w:val="yellow"/>
        </w:rPr>
        <w:t>《</w:t>
      </w:r>
      <w:r>
        <w:rPr>
          <w:rFonts w:hint="eastAsia" w:ascii="微软雅黑" w:hAnsi="微软雅黑" w:eastAsia="微软雅黑" w:cs="微软雅黑"/>
          <w:color w:val="404040"/>
          <w:szCs w:val="21"/>
          <w:highlight w:val="yellow"/>
        </w:rPr>
        <w:t>防水工程施工工艺管控要点及实战案例</w:t>
      </w:r>
      <w:r>
        <w:rPr>
          <w:rFonts w:hint="eastAsia" w:ascii="微软雅黑" w:hAnsi="微软雅黑" w:eastAsia="微软雅黑" w:cs="微软雅黑"/>
          <w:szCs w:val="21"/>
          <w:highlight w:val="yellow"/>
        </w:rPr>
        <w:t>》</w:t>
      </w:r>
      <w:r>
        <w:rPr>
          <w:rFonts w:hint="eastAsia" w:ascii="微软雅黑" w:hAnsi="微软雅黑" w:eastAsia="微软雅黑" w:cs="微软雅黑"/>
          <w:b/>
          <w:color w:val="404040"/>
          <w:szCs w:val="21"/>
          <w:highlight w:val="yellow"/>
        </w:rPr>
        <w:t>（土建工程专业防水工程施工工艺管理提升课程）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838" w:h="23811"/>
      <w:pgMar w:top="2410" w:right="2749" w:bottom="567" w:left="1985"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9766947"/>
    <w:multiLevelType w:val="multilevel"/>
    <w:tmpl w:val="19766947"/>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7732BC1"/>
    <w:multiLevelType w:val="multilevel"/>
    <w:tmpl w:val="27732BC1"/>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2CCD6E70"/>
    <w:multiLevelType w:val="multilevel"/>
    <w:tmpl w:val="2CCD6E70"/>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37A27C0E"/>
    <w:multiLevelType w:val="multilevel"/>
    <w:tmpl w:val="37A27C0E"/>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59CF2C12"/>
    <w:multiLevelType w:val="multilevel"/>
    <w:tmpl w:val="59CF2C12"/>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0">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8"/>
  </w:num>
  <w:num w:numId="2">
    <w:abstractNumId w:val="2"/>
  </w:num>
  <w:num w:numId="3">
    <w:abstractNumId w:val="5"/>
  </w:num>
  <w:num w:numId="4">
    <w:abstractNumId w:val="7"/>
  </w:num>
  <w:num w:numId="5">
    <w:abstractNumId w:val="3"/>
  </w:num>
  <w:num w:numId="6">
    <w:abstractNumId w:val="4"/>
  </w:num>
  <w:num w:numId="7">
    <w:abstractNumId w:val="12"/>
  </w:num>
  <w:num w:numId="8">
    <w:abstractNumId w:val="0"/>
  </w:num>
  <w:num w:numId="9">
    <w:abstractNumId w:val="6"/>
  </w:num>
  <w:num w:numId="10">
    <w:abstractNumId w:val="11"/>
  </w:num>
  <w:num w:numId="11">
    <w:abstractNumId w:val="9"/>
  </w:num>
  <w:num w:numId="12">
    <w:abstractNumId w:val="1"/>
  </w:num>
  <w:num w:numId="13">
    <w:abstractNumId w:val="9"/>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122C"/>
    <w:rsid w:val="00003AEB"/>
    <w:rsid w:val="00006AC8"/>
    <w:rsid w:val="00064028"/>
    <w:rsid w:val="00075514"/>
    <w:rsid w:val="0009275D"/>
    <w:rsid w:val="000979CB"/>
    <w:rsid w:val="000B6C4B"/>
    <w:rsid w:val="000C6C71"/>
    <w:rsid w:val="000D195B"/>
    <w:rsid w:val="000E4D18"/>
    <w:rsid w:val="00100B88"/>
    <w:rsid w:val="0011547E"/>
    <w:rsid w:val="0013013A"/>
    <w:rsid w:val="0013535E"/>
    <w:rsid w:val="00140F17"/>
    <w:rsid w:val="001429C5"/>
    <w:rsid w:val="0015199E"/>
    <w:rsid w:val="00151DB4"/>
    <w:rsid w:val="0015295D"/>
    <w:rsid w:val="001745C7"/>
    <w:rsid w:val="00185EEB"/>
    <w:rsid w:val="00191555"/>
    <w:rsid w:val="001C391F"/>
    <w:rsid w:val="001E0A5E"/>
    <w:rsid w:val="001E6544"/>
    <w:rsid w:val="001F3EF8"/>
    <w:rsid w:val="002170AA"/>
    <w:rsid w:val="002212C4"/>
    <w:rsid w:val="00222A87"/>
    <w:rsid w:val="00230A41"/>
    <w:rsid w:val="002434FF"/>
    <w:rsid w:val="00244CE4"/>
    <w:rsid w:val="00247570"/>
    <w:rsid w:val="002555A4"/>
    <w:rsid w:val="00263A6F"/>
    <w:rsid w:val="00276A40"/>
    <w:rsid w:val="00277808"/>
    <w:rsid w:val="00286226"/>
    <w:rsid w:val="002877F6"/>
    <w:rsid w:val="00290A2A"/>
    <w:rsid w:val="00291C6C"/>
    <w:rsid w:val="002941B6"/>
    <w:rsid w:val="002B6C45"/>
    <w:rsid w:val="002C08EF"/>
    <w:rsid w:val="002D6EF4"/>
    <w:rsid w:val="002F401E"/>
    <w:rsid w:val="002F64A0"/>
    <w:rsid w:val="0031596C"/>
    <w:rsid w:val="0033554E"/>
    <w:rsid w:val="00350713"/>
    <w:rsid w:val="00351908"/>
    <w:rsid w:val="00363BA6"/>
    <w:rsid w:val="0036613B"/>
    <w:rsid w:val="00366363"/>
    <w:rsid w:val="00386F07"/>
    <w:rsid w:val="0038765F"/>
    <w:rsid w:val="00396363"/>
    <w:rsid w:val="003A7457"/>
    <w:rsid w:val="003E619C"/>
    <w:rsid w:val="00404613"/>
    <w:rsid w:val="00407036"/>
    <w:rsid w:val="00423F1E"/>
    <w:rsid w:val="00425A3F"/>
    <w:rsid w:val="00444F0F"/>
    <w:rsid w:val="00460105"/>
    <w:rsid w:val="00471979"/>
    <w:rsid w:val="004745CB"/>
    <w:rsid w:val="00475856"/>
    <w:rsid w:val="00486FFE"/>
    <w:rsid w:val="00492F72"/>
    <w:rsid w:val="004A11DA"/>
    <w:rsid w:val="004A1970"/>
    <w:rsid w:val="004A1C68"/>
    <w:rsid w:val="004B7E82"/>
    <w:rsid w:val="004C150C"/>
    <w:rsid w:val="004E1C26"/>
    <w:rsid w:val="00506ACE"/>
    <w:rsid w:val="005100D5"/>
    <w:rsid w:val="0051455E"/>
    <w:rsid w:val="0051520C"/>
    <w:rsid w:val="00517B4D"/>
    <w:rsid w:val="00520471"/>
    <w:rsid w:val="00531E46"/>
    <w:rsid w:val="00553F13"/>
    <w:rsid w:val="0058697F"/>
    <w:rsid w:val="00596E95"/>
    <w:rsid w:val="005A0CDB"/>
    <w:rsid w:val="005D39AE"/>
    <w:rsid w:val="00620066"/>
    <w:rsid w:val="00633212"/>
    <w:rsid w:val="00660232"/>
    <w:rsid w:val="00665A47"/>
    <w:rsid w:val="0067469A"/>
    <w:rsid w:val="00687D03"/>
    <w:rsid w:val="0069080A"/>
    <w:rsid w:val="006D3DEF"/>
    <w:rsid w:val="006E0E13"/>
    <w:rsid w:val="00707C86"/>
    <w:rsid w:val="007348CC"/>
    <w:rsid w:val="007726F3"/>
    <w:rsid w:val="0077320A"/>
    <w:rsid w:val="00785A8D"/>
    <w:rsid w:val="007B03E7"/>
    <w:rsid w:val="007C3FBD"/>
    <w:rsid w:val="007D67FE"/>
    <w:rsid w:val="007E27AF"/>
    <w:rsid w:val="007E76F1"/>
    <w:rsid w:val="007F4482"/>
    <w:rsid w:val="00802A72"/>
    <w:rsid w:val="0081468D"/>
    <w:rsid w:val="00821D88"/>
    <w:rsid w:val="008235F6"/>
    <w:rsid w:val="00857F09"/>
    <w:rsid w:val="00864CBE"/>
    <w:rsid w:val="00885472"/>
    <w:rsid w:val="008942DA"/>
    <w:rsid w:val="008952AF"/>
    <w:rsid w:val="009031C7"/>
    <w:rsid w:val="009356D5"/>
    <w:rsid w:val="009421E2"/>
    <w:rsid w:val="0097034A"/>
    <w:rsid w:val="00983B13"/>
    <w:rsid w:val="0098470E"/>
    <w:rsid w:val="009850BB"/>
    <w:rsid w:val="00993554"/>
    <w:rsid w:val="009A6653"/>
    <w:rsid w:val="009D62C8"/>
    <w:rsid w:val="009E7AED"/>
    <w:rsid w:val="009F0DAD"/>
    <w:rsid w:val="009F1F2C"/>
    <w:rsid w:val="009F5577"/>
    <w:rsid w:val="00A0328B"/>
    <w:rsid w:val="00A07440"/>
    <w:rsid w:val="00A236B2"/>
    <w:rsid w:val="00A3123C"/>
    <w:rsid w:val="00A522F0"/>
    <w:rsid w:val="00A54B56"/>
    <w:rsid w:val="00A552D6"/>
    <w:rsid w:val="00A6583C"/>
    <w:rsid w:val="00A76C3F"/>
    <w:rsid w:val="00A80D66"/>
    <w:rsid w:val="00A82975"/>
    <w:rsid w:val="00A86084"/>
    <w:rsid w:val="00A8706F"/>
    <w:rsid w:val="00AC5E27"/>
    <w:rsid w:val="00AE14A4"/>
    <w:rsid w:val="00AE569B"/>
    <w:rsid w:val="00B24901"/>
    <w:rsid w:val="00B26918"/>
    <w:rsid w:val="00B41CD2"/>
    <w:rsid w:val="00B44FD5"/>
    <w:rsid w:val="00B648A0"/>
    <w:rsid w:val="00B65FDE"/>
    <w:rsid w:val="00B71905"/>
    <w:rsid w:val="00B825E2"/>
    <w:rsid w:val="00BA370E"/>
    <w:rsid w:val="00BD67F0"/>
    <w:rsid w:val="00BD6A6C"/>
    <w:rsid w:val="00BF4D86"/>
    <w:rsid w:val="00BF7C13"/>
    <w:rsid w:val="00C00C29"/>
    <w:rsid w:val="00C064AA"/>
    <w:rsid w:val="00C41C5C"/>
    <w:rsid w:val="00C4273D"/>
    <w:rsid w:val="00C44ECE"/>
    <w:rsid w:val="00C5318E"/>
    <w:rsid w:val="00C62174"/>
    <w:rsid w:val="00C675A5"/>
    <w:rsid w:val="00C723DB"/>
    <w:rsid w:val="00C92DE5"/>
    <w:rsid w:val="00CA3002"/>
    <w:rsid w:val="00CB4502"/>
    <w:rsid w:val="00CE2DC1"/>
    <w:rsid w:val="00CF24E5"/>
    <w:rsid w:val="00D05669"/>
    <w:rsid w:val="00D225D1"/>
    <w:rsid w:val="00D352D3"/>
    <w:rsid w:val="00D37612"/>
    <w:rsid w:val="00D80B19"/>
    <w:rsid w:val="00D91AE6"/>
    <w:rsid w:val="00D9536D"/>
    <w:rsid w:val="00DA56A6"/>
    <w:rsid w:val="00DC3C68"/>
    <w:rsid w:val="00DD306B"/>
    <w:rsid w:val="00DE3153"/>
    <w:rsid w:val="00DF631C"/>
    <w:rsid w:val="00E331C2"/>
    <w:rsid w:val="00E44D73"/>
    <w:rsid w:val="00E50433"/>
    <w:rsid w:val="00E677AD"/>
    <w:rsid w:val="00E90178"/>
    <w:rsid w:val="00E943B1"/>
    <w:rsid w:val="00E94B94"/>
    <w:rsid w:val="00EB2815"/>
    <w:rsid w:val="00ED65FA"/>
    <w:rsid w:val="00EE02BD"/>
    <w:rsid w:val="00EF160C"/>
    <w:rsid w:val="00EF7A1C"/>
    <w:rsid w:val="00F07422"/>
    <w:rsid w:val="00F11A40"/>
    <w:rsid w:val="00F21560"/>
    <w:rsid w:val="00F25A99"/>
    <w:rsid w:val="00F327BC"/>
    <w:rsid w:val="00F33918"/>
    <w:rsid w:val="00F3594E"/>
    <w:rsid w:val="00F91CFC"/>
    <w:rsid w:val="00F92274"/>
    <w:rsid w:val="00F934E6"/>
    <w:rsid w:val="00FB1623"/>
    <w:rsid w:val="00FB2BB1"/>
    <w:rsid w:val="00FB5406"/>
    <w:rsid w:val="00FC114A"/>
    <w:rsid w:val="00FE2EF0"/>
    <w:rsid w:val="00FE71FA"/>
    <w:rsid w:val="00FF0C2C"/>
    <w:rsid w:val="00FF242A"/>
    <w:rsid w:val="062250B0"/>
    <w:rsid w:val="077310CE"/>
    <w:rsid w:val="08026160"/>
    <w:rsid w:val="08DC76B9"/>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customStyle="1" w:styleId="9">
    <w:name w:val="页眉 Char"/>
    <w:link w:val="4"/>
    <w:uiPriority w:val="0"/>
    <w:rPr>
      <w:kern w:val="2"/>
      <w:sz w:val="18"/>
      <w:szCs w:val="18"/>
    </w:rPr>
  </w:style>
  <w:style w:type="character" w:customStyle="1" w:styleId="10">
    <w:name w:val="页脚 Char"/>
    <w:link w:val="3"/>
    <w:uiPriority w:val="0"/>
    <w:rPr>
      <w:kern w:val="2"/>
      <w:sz w:val="18"/>
      <w:szCs w:val="18"/>
    </w:rPr>
  </w:style>
  <w:style w:type="paragraph" w:customStyle="1" w:styleId="11">
    <w:name w:val="样式1"/>
    <w:basedOn w:val="2"/>
    <w:qFormat/>
    <w:uiPriority w:val="0"/>
    <w:pPr>
      <w:spacing w:line="360" w:lineRule="auto"/>
      <w:jc w:val="center"/>
    </w:pPr>
    <w:rPr>
      <w:rFonts w:ascii="微软雅黑" w:hAnsi="微软雅黑" w:eastAsia="微软雅黑"/>
      <w:sz w:val="32"/>
      <w:szCs w:val="32"/>
    </w:rPr>
  </w:style>
  <w:style w:type="paragraph" w:styleId="12">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4434</Words>
  <Characters>4449</Characters>
  <Lines>32</Lines>
  <Paragraphs>9</Paragraphs>
  <TotalTime>0</TotalTime>
  <ScaleCrop>false</ScaleCrop>
  <LinksUpToDate>false</LinksUpToDate>
  <CharactersWithSpaces>4490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2022-04-22T11:20:00Z</dcterms:created>
  <dc:creator>微软中国</dc:creator>
  <cp:lastModifiedBy>蓉儿</cp:lastModifiedBy>
  <dcterms:modified xsi:type="dcterms:W3CDTF">2023-01-04T08:26:22Z</dcterms:modified>
  <dc:title>在当前房地产行业中，设计管理一直是各地产公司管理的焦点和难点</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2D804CF9DF2742B185B1B42675BD72BC</vt:lpwstr>
  </property>
</Properties>
</file>