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ind w:left="567" w:leftChars="270"/>
        <w:jc w:val="center"/>
        <w:rPr>
          <w:rFonts w:hint="eastAsia" w:ascii="微软雅黑" w:hAnsi="微软雅黑" w:eastAsia="微软雅黑" w:cs="微软雅黑"/>
          <w:b/>
          <w:bCs/>
          <w:sz w:val="24"/>
        </w:rPr>
      </w:pPr>
      <w:bookmarkStart w:id="11" w:name="_GoBack"/>
      <w:bookmarkEnd w:id="11"/>
      <w:r>
        <w:rPr>
          <w:rFonts w:hint="eastAsia" w:ascii="微软雅黑" w:hAnsi="微软雅黑" w:eastAsia="微软雅黑" w:cs="微软雅黑"/>
          <w:b/>
          <w:bCs/>
          <w:sz w:val="24"/>
        </w:rPr>
        <w:t>盾构施工工艺管控要点及实战案例</w:t>
      </w:r>
    </w:p>
    <w:p>
      <w:pPr>
        <w:spacing w:line="480" w:lineRule="exact"/>
        <w:rPr>
          <w:rFonts w:ascii="微软雅黑" w:hAnsi="微软雅黑" w:eastAsia="微软雅黑" w:cs="微软雅黑"/>
          <w:sz w:val="28"/>
          <w:szCs w:val="28"/>
        </w:rPr>
      </w:pPr>
    </w:p>
    <w:p>
      <w:pPr>
        <w:spacing w:line="440" w:lineRule="exact"/>
        <w:rPr>
          <w:rFonts w:ascii="微软雅黑" w:hAnsi="微软雅黑" w:eastAsia="微软雅黑"/>
          <w:b/>
          <w:color w:val="FFFFFF"/>
          <w:sz w:val="24"/>
        </w:rPr>
      </w:pPr>
      <w:bookmarkStart w:id="0" w:name="_Hlk106712323"/>
      <w:r>
        <w:rPr>
          <w:rFonts w:hint="eastAsia" w:ascii="微软雅黑" w:hAnsi="微软雅黑" w:eastAsia="微软雅黑"/>
          <w:b/>
          <w:color w:val="FFFFFF"/>
          <w:sz w:val="24"/>
          <w:highlight w:val="black"/>
        </w:rPr>
        <w:t>【课程背景】</w:t>
      </w:r>
    </w:p>
    <w:bookmarkEnd w:id="0"/>
    <w:p>
      <w:pPr>
        <w:spacing w:line="440" w:lineRule="exact"/>
        <w:rPr>
          <w:rFonts w:hint="eastAsia" w:ascii="微软雅黑" w:hAnsi="微软雅黑" w:eastAsia="微软雅黑"/>
          <w:b/>
          <w:color w:val="FFFFFF"/>
          <w:sz w:val="24"/>
        </w:rPr>
      </w:pPr>
    </w:p>
    <w:p>
      <w:pPr>
        <w:spacing w:line="480" w:lineRule="exact"/>
        <w:ind w:firstLine="480" w:firstLineChars="200"/>
        <w:rPr>
          <w:rFonts w:hint="eastAsia" w:ascii="微软雅黑" w:hAnsi="微软雅黑" w:eastAsia="微软雅黑" w:cs="微软雅黑"/>
          <w:sz w:val="24"/>
        </w:rPr>
      </w:pPr>
      <w:r>
        <w:rPr>
          <w:rFonts w:hint="eastAsia" w:ascii="微软雅黑" w:hAnsi="微软雅黑" w:eastAsia="微软雅黑" w:cs="微软雅黑"/>
          <w:sz w:val="24"/>
        </w:rPr>
        <w:t>本次课程根据专家2</w:t>
      </w:r>
      <w:r>
        <w:rPr>
          <w:rFonts w:ascii="微软雅黑" w:hAnsi="微软雅黑" w:eastAsia="微软雅黑" w:cs="微软雅黑"/>
          <w:sz w:val="24"/>
        </w:rPr>
        <w:t>3</w:t>
      </w:r>
      <w:r>
        <w:rPr>
          <w:rFonts w:hint="eastAsia" w:ascii="微软雅黑" w:hAnsi="微软雅黑" w:eastAsia="微软雅黑" w:cs="微软雅黑"/>
          <w:sz w:val="24"/>
        </w:rPr>
        <w:t>年的工作经历及经验（10年中建系统工作经历、1</w:t>
      </w:r>
      <w:r>
        <w:rPr>
          <w:rFonts w:ascii="微软雅黑" w:hAnsi="微软雅黑" w:eastAsia="微软雅黑" w:cs="微软雅黑"/>
          <w:sz w:val="24"/>
        </w:rPr>
        <w:t>3</w:t>
      </w:r>
      <w:r>
        <w:rPr>
          <w:rFonts w:hint="eastAsia" w:ascii="微软雅黑" w:hAnsi="微软雅黑" w:eastAsia="微软雅黑" w:cs="微软雅黑"/>
          <w:sz w:val="24"/>
        </w:rPr>
        <w:t>年地产企业管理经历），结合清华大学工程制造业精细化及流程化的管理方法，通过对100多个与工程管理有关的实际操作案例进行情景解剖，导出能够适合大多数地产企业确保工程进度前提下大幅提升产品品质的管理思路和技巧，以及切实落地的手段及措施。</w:t>
      </w:r>
    </w:p>
    <w:p>
      <w:pPr>
        <w:spacing w:line="480" w:lineRule="exact"/>
        <w:ind w:firstLine="480" w:firstLineChars="200"/>
        <w:rPr>
          <w:rFonts w:ascii="微软雅黑" w:hAnsi="微软雅黑" w:eastAsia="微软雅黑" w:cs="微软雅黑"/>
          <w:sz w:val="24"/>
        </w:rPr>
      </w:pPr>
      <w:r>
        <w:rPr>
          <w:rFonts w:hint="eastAsia" w:ascii="微软雅黑" w:hAnsi="微软雅黑" w:eastAsia="微软雅黑" w:cs="微软雅黑"/>
          <w:sz w:val="24"/>
        </w:rPr>
        <w:t>本次课程特点是将标杆地产企业工程管理的实战经验与清华大学制造业经典管理理论密切结合，实操案例多、启发性强，同时可与学员有较多的深度互动，通过互动交流来进一步梳理学员的管理思路及实战操作。</w:t>
      </w:r>
    </w:p>
    <w:p>
      <w:pPr>
        <w:spacing w:line="480" w:lineRule="exact"/>
        <w:ind w:firstLine="480" w:firstLineChars="200"/>
        <w:rPr>
          <w:rFonts w:hint="eastAsia" w:ascii="微软雅黑" w:hAnsi="微软雅黑" w:eastAsia="微软雅黑" w:cs="微软雅黑"/>
          <w:color w:val="FF0000"/>
          <w:sz w:val="24"/>
        </w:rPr>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【课程收益】</w:t>
      </w:r>
    </w:p>
    <w:p>
      <w:pPr>
        <w:pStyle w:val="12"/>
        <w:numPr>
          <w:ilvl w:val="0"/>
          <w:numId w:val="1"/>
        </w:numPr>
        <w:spacing w:line="480" w:lineRule="exact"/>
        <w:ind w:firstLineChars="0"/>
        <w:rPr>
          <w:rFonts w:ascii="微软雅黑" w:hAnsi="微软雅黑" w:eastAsia="微软雅黑" w:cs="微软雅黑"/>
          <w:sz w:val="24"/>
        </w:rPr>
      </w:pPr>
      <w:r>
        <w:rPr>
          <w:rFonts w:hint="eastAsia" w:ascii="微软雅黑" w:hAnsi="微软雅黑" w:eastAsia="微软雅黑" w:cs="微软雅黑"/>
          <w:sz w:val="24"/>
        </w:rPr>
        <w:t>学习掌握盾构施工工艺要点和实战案例；</w:t>
      </w:r>
    </w:p>
    <w:p>
      <w:pPr>
        <w:widowControl/>
        <w:shd w:val="clear" w:color="auto" w:fill="FFFFFF"/>
        <w:spacing w:line="480" w:lineRule="exact"/>
        <w:jc w:val="left"/>
        <w:rPr>
          <w:rFonts w:ascii="Verdana" w:hAnsi="Verdana" w:cs="Verdana"/>
          <w:color w:val="333333"/>
          <w:sz w:val="28"/>
          <w:szCs w:val="28"/>
        </w:rPr>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【课程对象】</w:t>
      </w:r>
    </w:p>
    <w:p>
      <w:pPr>
        <w:pStyle w:val="12"/>
        <w:spacing w:line="480" w:lineRule="exact"/>
        <w:ind w:left="426" w:firstLine="567" w:firstLineChars="0"/>
        <w:rPr>
          <w:rFonts w:hint="eastAsia" w:ascii="微软雅黑" w:hAnsi="微软雅黑" w:eastAsia="微软雅黑" w:cs="微软雅黑"/>
          <w:sz w:val="24"/>
        </w:rPr>
      </w:pPr>
      <w:r>
        <w:rPr>
          <w:rFonts w:hint="eastAsia" w:ascii="微软雅黑" w:hAnsi="微软雅黑" w:eastAsia="微软雅黑" w:cs="微软雅黑"/>
          <w:sz w:val="24"/>
        </w:rPr>
        <w:t>房地产企业董事长、总经理、总工、集团分管工程副总、项目总经理、工程总监、工程部经理成本总监、成本部经理、工程部经理、造价工程师等。</w:t>
      </w:r>
    </w:p>
    <w:p>
      <w:pPr>
        <w:spacing w:line="440" w:lineRule="exact"/>
        <w:ind w:left="567" w:leftChars="270"/>
        <w:rPr>
          <w:rFonts w:hint="eastAsia" w:ascii="微软雅黑" w:hAnsi="微软雅黑" w:eastAsia="微软雅黑" w:cs="微软雅黑"/>
          <w:b/>
          <w:bCs/>
          <w:color w:val="FF0000"/>
          <w:sz w:val="28"/>
          <w:szCs w:val="28"/>
        </w:rPr>
      </w:pPr>
    </w:p>
    <w:p>
      <w:pPr>
        <w:spacing w:line="440" w:lineRule="exact"/>
        <w:rPr>
          <w:sz w:val="28"/>
          <w:szCs w:val="28"/>
        </w:rPr>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【课程大纲】</w:t>
      </w:r>
    </w:p>
    <w:p>
      <w:pPr>
        <w:spacing w:line="480" w:lineRule="exact"/>
        <w:rPr>
          <w:rFonts w:hint="eastAsia" w:ascii="微软雅黑" w:hAnsi="微软雅黑" w:eastAsia="微软雅黑" w:cs="微软雅黑"/>
          <w:b/>
          <w:color w:val="FF9900"/>
          <w:sz w:val="24"/>
        </w:rPr>
      </w:pPr>
      <w:r>
        <w:rPr>
          <w:rFonts w:hint="eastAsia" w:ascii="微软雅黑" w:hAnsi="微软雅黑" w:eastAsia="微软雅黑" w:cs="微软雅黑"/>
          <w:b/>
          <w:color w:val="FF0000"/>
          <w:sz w:val="24"/>
        </w:rPr>
        <w:t>第一部分：盾构始发施工技术</w:t>
      </w:r>
    </w:p>
    <w:p>
      <w:pPr>
        <w:pStyle w:val="12"/>
        <w:numPr>
          <w:ilvl w:val="1"/>
          <w:numId w:val="2"/>
        </w:numPr>
        <w:ind w:left="851" w:firstLine="0" w:firstLineChars="0"/>
        <w:rPr>
          <w:rFonts w:ascii="微软雅黑" w:hAnsi="微软雅黑" w:eastAsia="微软雅黑"/>
          <w:b/>
          <w:sz w:val="24"/>
          <w:szCs w:val="24"/>
        </w:rPr>
      </w:pPr>
      <w:r>
        <w:rPr>
          <w:rFonts w:hint="eastAsia" w:ascii="微软雅黑" w:hAnsi="微软雅黑" w:eastAsia="微软雅黑"/>
          <w:b/>
          <w:sz w:val="24"/>
          <w:szCs w:val="24"/>
        </w:rPr>
        <w:t>盾构始发定义及施工工艺；</w:t>
      </w:r>
    </w:p>
    <w:p>
      <w:pPr>
        <w:pStyle w:val="12"/>
        <w:numPr>
          <w:ilvl w:val="1"/>
          <w:numId w:val="2"/>
        </w:numPr>
        <w:ind w:left="851" w:firstLine="0" w:firstLineChars="0"/>
        <w:rPr>
          <w:rFonts w:ascii="微软雅黑" w:hAnsi="微软雅黑" w:eastAsia="微软雅黑"/>
          <w:b/>
          <w:sz w:val="24"/>
          <w:szCs w:val="24"/>
        </w:rPr>
      </w:pPr>
      <w:r>
        <w:rPr>
          <w:rFonts w:hint="eastAsia" w:ascii="微软雅黑" w:hAnsi="微软雅黑" w:eastAsia="微软雅黑"/>
          <w:b/>
          <w:sz w:val="24"/>
          <w:szCs w:val="24"/>
        </w:rPr>
        <w:t>始发前端头加固及洞门凿除；</w:t>
      </w:r>
    </w:p>
    <w:p>
      <w:pPr>
        <w:pStyle w:val="12"/>
        <w:numPr>
          <w:ilvl w:val="1"/>
          <w:numId w:val="2"/>
        </w:numPr>
        <w:ind w:left="851" w:firstLine="0" w:firstLineChars="0"/>
        <w:rPr>
          <w:rFonts w:ascii="微软雅黑" w:hAnsi="微软雅黑" w:eastAsia="微软雅黑"/>
          <w:b/>
          <w:sz w:val="24"/>
          <w:szCs w:val="24"/>
        </w:rPr>
      </w:pPr>
      <w:r>
        <w:rPr>
          <w:rFonts w:hint="eastAsia" w:ascii="微软雅黑" w:hAnsi="微软雅黑" w:eastAsia="微软雅黑"/>
          <w:b/>
          <w:sz w:val="24"/>
          <w:szCs w:val="24"/>
        </w:rPr>
        <w:t>盾构基座、洞口密封、反力架安装；</w:t>
      </w:r>
    </w:p>
    <w:p>
      <w:pPr>
        <w:pStyle w:val="12"/>
        <w:numPr>
          <w:ilvl w:val="1"/>
          <w:numId w:val="2"/>
        </w:numPr>
        <w:ind w:left="851" w:firstLine="0" w:firstLineChars="0"/>
        <w:rPr>
          <w:rFonts w:ascii="微软雅黑" w:hAnsi="微软雅黑" w:eastAsia="微软雅黑"/>
          <w:b/>
          <w:sz w:val="24"/>
          <w:szCs w:val="24"/>
        </w:rPr>
      </w:pPr>
      <w:r>
        <w:rPr>
          <w:rFonts w:hint="eastAsia" w:ascii="微软雅黑" w:hAnsi="微软雅黑" w:eastAsia="微软雅黑"/>
          <w:b/>
          <w:sz w:val="24"/>
          <w:szCs w:val="24"/>
        </w:rPr>
        <w:t>盾构机调试及始发条件验收；</w:t>
      </w:r>
    </w:p>
    <w:p>
      <w:pPr>
        <w:pStyle w:val="12"/>
        <w:numPr>
          <w:ilvl w:val="1"/>
          <w:numId w:val="2"/>
        </w:numPr>
        <w:ind w:left="851" w:firstLine="0" w:firstLineChars="0"/>
        <w:rPr>
          <w:rFonts w:ascii="微软雅黑" w:hAnsi="微软雅黑" w:eastAsia="微软雅黑"/>
          <w:b/>
          <w:sz w:val="24"/>
          <w:szCs w:val="24"/>
        </w:rPr>
      </w:pPr>
      <w:r>
        <w:rPr>
          <w:rFonts w:hint="eastAsia" w:ascii="微软雅黑" w:hAnsi="微软雅黑" w:eastAsia="微软雅黑"/>
          <w:b/>
          <w:sz w:val="24"/>
          <w:szCs w:val="24"/>
        </w:rPr>
        <w:t>负环拼装</w:t>
      </w:r>
    </w:p>
    <w:p>
      <w:pPr>
        <w:pStyle w:val="12"/>
        <w:numPr>
          <w:ilvl w:val="1"/>
          <w:numId w:val="2"/>
        </w:numPr>
        <w:ind w:left="851" w:firstLine="0" w:firstLineChars="0"/>
        <w:rPr>
          <w:rFonts w:ascii="微软雅黑" w:hAnsi="微软雅黑" w:eastAsia="微软雅黑"/>
          <w:b/>
          <w:sz w:val="24"/>
          <w:szCs w:val="24"/>
        </w:rPr>
      </w:pPr>
      <w:r>
        <w:rPr>
          <w:rFonts w:hint="eastAsia" w:ascii="微软雅黑" w:hAnsi="微软雅黑" w:eastAsia="微软雅黑"/>
          <w:b/>
          <w:sz w:val="24"/>
          <w:szCs w:val="24"/>
        </w:rPr>
        <w:t>盾构试掘进</w:t>
      </w:r>
    </w:p>
    <w:p>
      <w:pPr>
        <w:pStyle w:val="12"/>
        <w:numPr>
          <w:ilvl w:val="1"/>
          <w:numId w:val="2"/>
        </w:numPr>
        <w:ind w:left="851" w:firstLine="0" w:firstLineChars="0"/>
        <w:rPr>
          <w:rFonts w:ascii="微软雅黑" w:hAnsi="微软雅黑" w:eastAsia="微软雅黑"/>
          <w:b/>
          <w:sz w:val="24"/>
          <w:szCs w:val="24"/>
        </w:rPr>
      </w:pPr>
      <w:r>
        <w:rPr>
          <w:rFonts w:hint="eastAsia" w:ascii="微软雅黑" w:hAnsi="微软雅黑" w:eastAsia="微软雅黑"/>
          <w:b/>
          <w:sz w:val="24"/>
          <w:szCs w:val="24"/>
        </w:rPr>
        <w:t>始发注意事项</w:t>
      </w:r>
    </w:p>
    <w:p>
      <w:pPr>
        <w:spacing w:line="480" w:lineRule="exact"/>
        <w:rPr>
          <w:rFonts w:ascii="微软雅黑" w:hAnsi="微软雅黑" w:eastAsia="微软雅黑" w:cs="微软雅黑"/>
          <w:b/>
          <w:color w:val="FF0000"/>
          <w:sz w:val="24"/>
        </w:rPr>
      </w:pPr>
      <w:r>
        <w:rPr>
          <w:rFonts w:hint="eastAsia" w:ascii="微软雅黑" w:hAnsi="微软雅黑" w:eastAsia="微软雅黑" w:cs="微软雅黑"/>
          <w:b/>
          <w:color w:val="FF0000"/>
          <w:sz w:val="24"/>
        </w:rPr>
        <w:t>第二部分：</w:t>
      </w:r>
      <w:r>
        <w:rPr>
          <w:rFonts w:hint="eastAsia" w:ascii="微软雅黑" w:hAnsi="微软雅黑" w:eastAsia="微软雅黑" w:cs="微软雅黑"/>
          <w:b/>
          <w:bCs/>
          <w:color w:val="FF0000"/>
          <w:sz w:val="24"/>
        </w:rPr>
        <w:t>盾构到达施工技术</w:t>
      </w:r>
    </w:p>
    <w:p>
      <w:pPr>
        <w:pStyle w:val="12"/>
        <w:numPr>
          <w:ilvl w:val="1"/>
          <w:numId w:val="3"/>
        </w:numPr>
        <w:ind w:left="1276" w:hanging="414" w:firstLineChars="0"/>
        <w:rPr>
          <w:rFonts w:ascii="微软雅黑" w:hAnsi="微软雅黑" w:eastAsia="微软雅黑"/>
          <w:b/>
          <w:sz w:val="24"/>
          <w:szCs w:val="24"/>
        </w:rPr>
      </w:pPr>
      <w:r>
        <w:rPr>
          <w:rFonts w:hint="eastAsia" w:ascii="微软雅黑" w:hAnsi="微软雅黑" w:eastAsia="微软雅黑"/>
          <w:b/>
          <w:bCs/>
          <w:sz w:val="24"/>
          <w:szCs w:val="24"/>
        </w:rPr>
        <w:t>盾构接收定义及工艺流程</w:t>
      </w:r>
      <w:r>
        <w:rPr>
          <w:rFonts w:hint="eastAsia" w:ascii="微软雅黑" w:hAnsi="微软雅黑" w:eastAsia="微软雅黑"/>
          <w:b/>
          <w:sz w:val="24"/>
          <w:szCs w:val="24"/>
        </w:rPr>
        <w:t>；</w:t>
      </w:r>
    </w:p>
    <w:p>
      <w:pPr>
        <w:pStyle w:val="12"/>
        <w:numPr>
          <w:ilvl w:val="1"/>
          <w:numId w:val="3"/>
        </w:numPr>
        <w:ind w:left="1276" w:hanging="414" w:firstLineChars="0"/>
        <w:rPr>
          <w:rFonts w:ascii="微软雅黑" w:hAnsi="微软雅黑" w:eastAsia="微软雅黑"/>
          <w:b/>
          <w:bCs/>
          <w:sz w:val="24"/>
          <w:szCs w:val="24"/>
        </w:rPr>
      </w:pPr>
      <w:r>
        <w:rPr>
          <w:rFonts w:hint="eastAsia" w:ascii="微软雅黑" w:hAnsi="微软雅黑" w:eastAsia="微软雅黑"/>
          <w:b/>
          <w:bCs/>
          <w:sz w:val="24"/>
          <w:szCs w:val="24"/>
        </w:rPr>
        <w:t>盾构接收端头加固</w:t>
      </w:r>
    </w:p>
    <w:p>
      <w:pPr>
        <w:pStyle w:val="12"/>
        <w:numPr>
          <w:ilvl w:val="1"/>
          <w:numId w:val="3"/>
        </w:numPr>
        <w:ind w:left="1276" w:hanging="414" w:firstLineChars="0"/>
        <w:rPr>
          <w:rFonts w:ascii="微软雅黑" w:hAnsi="微软雅黑" w:eastAsia="微软雅黑"/>
          <w:b/>
          <w:bCs/>
          <w:sz w:val="24"/>
          <w:szCs w:val="24"/>
        </w:rPr>
      </w:pPr>
      <w:r>
        <w:rPr>
          <w:rFonts w:hint="eastAsia" w:ascii="微软雅黑" w:hAnsi="微软雅黑" w:eastAsia="微软雅黑"/>
          <w:b/>
          <w:bCs/>
          <w:sz w:val="24"/>
          <w:szCs w:val="24"/>
        </w:rPr>
        <w:t xml:space="preserve">盾构到达掘进参数 </w:t>
      </w:r>
    </w:p>
    <w:p>
      <w:pPr>
        <w:pStyle w:val="12"/>
        <w:numPr>
          <w:ilvl w:val="1"/>
          <w:numId w:val="3"/>
        </w:numPr>
        <w:ind w:left="1276" w:hanging="414" w:firstLineChars="0"/>
        <w:rPr>
          <w:rFonts w:ascii="微软雅黑" w:hAnsi="微软雅黑" w:eastAsia="微软雅黑"/>
          <w:b/>
          <w:bCs/>
          <w:sz w:val="24"/>
          <w:szCs w:val="24"/>
        </w:rPr>
      </w:pPr>
      <w:r>
        <w:rPr>
          <w:rFonts w:hint="eastAsia" w:ascii="微软雅黑" w:hAnsi="微软雅黑" w:eastAsia="微软雅黑"/>
          <w:b/>
          <w:bCs/>
          <w:sz w:val="24"/>
          <w:szCs w:val="24"/>
        </w:rPr>
        <w:t>盾构机定位及接收洞门位置复核测量</w:t>
      </w:r>
    </w:p>
    <w:p>
      <w:pPr>
        <w:pStyle w:val="12"/>
        <w:numPr>
          <w:ilvl w:val="1"/>
          <w:numId w:val="3"/>
        </w:numPr>
        <w:ind w:left="1276" w:hanging="414" w:firstLineChars="0"/>
        <w:rPr>
          <w:rFonts w:ascii="微软雅黑" w:hAnsi="微软雅黑" w:eastAsia="微软雅黑"/>
          <w:b/>
          <w:bCs/>
          <w:sz w:val="24"/>
          <w:szCs w:val="24"/>
        </w:rPr>
      </w:pPr>
      <w:r>
        <w:rPr>
          <w:rFonts w:hint="eastAsia" w:ascii="微软雅黑" w:hAnsi="微软雅黑" w:eastAsia="微软雅黑"/>
          <w:b/>
          <w:bCs/>
          <w:sz w:val="24"/>
          <w:szCs w:val="24"/>
        </w:rPr>
        <w:t>盾构姿态调整及径向孔、盾尾管片注浆</w:t>
      </w:r>
    </w:p>
    <w:p>
      <w:pPr>
        <w:pStyle w:val="12"/>
        <w:numPr>
          <w:ilvl w:val="1"/>
          <w:numId w:val="3"/>
        </w:numPr>
        <w:ind w:left="1276" w:hanging="414" w:firstLineChars="0"/>
        <w:rPr>
          <w:rFonts w:ascii="微软雅黑" w:hAnsi="微软雅黑" w:eastAsia="微软雅黑"/>
          <w:b/>
          <w:bCs/>
          <w:sz w:val="24"/>
          <w:szCs w:val="24"/>
        </w:rPr>
      </w:pPr>
      <w:r>
        <w:rPr>
          <w:rFonts w:hint="eastAsia" w:ascii="微软雅黑" w:hAnsi="微软雅黑" w:eastAsia="微软雅黑"/>
          <w:b/>
          <w:bCs/>
          <w:sz w:val="24"/>
          <w:szCs w:val="24"/>
        </w:rPr>
        <w:t>盾构接收洞门帘布安装</w:t>
      </w:r>
    </w:p>
    <w:p>
      <w:pPr>
        <w:pStyle w:val="13"/>
        <w:numPr>
          <w:ilvl w:val="1"/>
          <w:numId w:val="3"/>
        </w:numPr>
        <w:ind w:left="1276" w:hanging="414" w:firstLineChars="0"/>
        <w:rPr>
          <w:rFonts w:ascii="微软雅黑" w:hAnsi="微软雅黑" w:eastAsia="微软雅黑"/>
          <w:b/>
          <w:bCs/>
          <w:sz w:val="24"/>
          <w:szCs w:val="24"/>
        </w:rPr>
      </w:pPr>
      <w:r>
        <w:rPr>
          <w:rFonts w:hint="eastAsia" w:ascii="微软雅黑" w:hAnsi="微软雅黑" w:eastAsia="微软雅黑"/>
          <w:b/>
          <w:bCs/>
          <w:sz w:val="24"/>
          <w:szCs w:val="24"/>
        </w:rPr>
        <w:t>管片拼装控制及托架安装定位加固</w:t>
      </w:r>
    </w:p>
    <w:p>
      <w:pPr>
        <w:pStyle w:val="12"/>
        <w:numPr>
          <w:ilvl w:val="1"/>
          <w:numId w:val="3"/>
        </w:numPr>
        <w:ind w:left="1276" w:hanging="414" w:firstLineChars="0"/>
        <w:rPr>
          <w:rFonts w:hint="eastAsia" w:ascii="微软雅黑" w:hAnsi="微软雅黑" w:eastAsia="微软雅黑"/>
          <w:b/>
          <w:bCs/>
          <w:sz w:val="24"/>
          <w:szCs w:val="24"/>
        </w:rPr>
      </w:pPr>
      <w:r>
        <w:rPr>
          <w:rFonts w:hint="eastAsia" w:ascii="微软雅黑" w:hAnsi="微软雅黑" w:eastAsia="微软雅黑"/>
          <w:b/>
          <w:bCs/>
          <w:sz w:val="24"/>
          <w:szCs w:val="24"/>
        </w:rPr>
        <w:t xml:space="preserve">盾构到达注意事项 </w:t>
      </w:r>
    </w:p>
    <w:p>
      <w:pPr>
        <w:spacing w:line="480" w:lineRule="exact"/>
        <w:rPr>
          <w:rFonts w:ascii="微软雅黑" w:hAnsi="微软雅黑" w:eastAsia="微软雅黑" w:cs="微软雅黑"/>
          <w:b/>
          <w:color w:val="FF0000"/>
          <w:sz w:val="24"/>
        </w:rPr>
      </w:pPr>
      <w:r>
        <w:rPr>
          <w:rFonts w:hint="eastAsia" w:ascii="微软雅黑" w:hAnsi="微软雅黑" w:eastAsia="微软雅黑" w:cs="微软雅黑"/>
          <w:b/>
          <w:color w:val="FF0000"/>
          <w:sz w:val="24"/>
        </w:rPr>
        <w:t>第三部分：</w:t>
      </w:r>
      <w:r>
        <w:rPr>
          <w:rFonts w:hint="eastAsia" w:ascii="微软雅黑" w:hAnsi="微软雅黑" w:eastAsia="微软雅黑" w:cs="微软雅黑"/>
          <w:b/>
          <w:bCs/>
          <w:color w:val="FF0000"/>
          <w:sz w:val="24"/>
        </w:rPr>
        <w:t>盾构掘进施工技术</w:t>
      </w:r>
    </w:p>
    <w:p>
      <w:pPr>
        <w:pStyle w:val="12"/>
        <w:numPr>
          <w:ilvl w:val="1"/>
          <w:numId w:val="4"/>
        </w:numPr>
        <w:ind w:firstLine="11" w:firstLineChars="0"/>
        <w:rPr>
          <w:rFonts w:ascii="微软雅黑" w:hAnsi="微软雅黑" w:eastAsia="微软雅黑"/>
          <w:b/>
          <w:bCs/>
          <w:sz w:val="24"/>
          <w:szCs w:val="24"/>
        </w:rPr>
      </w:pPr>
      <w:r>
        <w:rPr>
          <w:rFonts w:hint="eastAsia" w:ascii="微软雅黑" w:hAnsi="微软雅黑" w:eastAsia="微软雅黑"/>
          <w:b/>
          <w:bCs/>
          <w:sz w:val="24"/>
          <w:szCs w:val="24"/>
        </w:rPr>
        <w:t>施工工艺流程</w:t>
      </w:r>
    </w:p>
    <w:p>
      <w:pPr>
        <w:pStyle w:val="12"/>
        <w:numPr>
          <w:ilvl w:val="1"/>
          <w:numId w:val="4"/>
        </w:numPr>
        <w:ind w:firstLine="11" w:firstLineChars="0"/>
        <w:rPr>
          <w:rFonts w:ascii="微软雅黑" w:hAnsi="微软雅黑" w:eastAsia="微软雅黑"/>
          <w:b/>
          <w:bCs/>
          <w:sz w:val="24"/>
          <w:szCs w:val="24"/>
        </w:rPr>
      </w:pPr>
      <w:r>
        <w:rPr>
          <w:rFonts w:hint="eastAsia" w:ascii="微软雅黑" w:hAnsi="微软雅黑" w:eastAsia="微软雅黑"/>
          <w:b/>
          <w:bCs/>
          <w:sz w:val="24"/>
          <w:szCs w:val="24"/>
        </w:rPr>
        <w:t>掘进模式选择及土仓压力控制</w:t>
      </w:r>
    </w:p>
    <w:p>
      <w:pPr>
        <w:pStyle w:val="12"/>
        <w:numPr>
          <w:ilvl w:val="1"/>
          <w:numId w:val="4"/>
        </w:numPr>
        <w:ind w:firstLine="11" w:firstLineChars="0"/>
        <w:rPr>
          <w:rFonts w:ascii="微软雅黑" w:hAnsi="微软雅黑" w:eastAsia="微软雅黑"/>
          <w:b/>
          <w:bCs/>
          <w:sz w:val="24"/>
          <w:szCs w:val="24"/>
        </w:rPr>
      </w:pPr>
      <w:r>
        <w:rPr>
          <w:rFonts w:hint="eastAsia" w:ascii="微软雅黑" w:hAnsi="微软雅黑" w:eastAsia="微软雅黑"/>
          <w:b/>
          <w:bCs/>
          <w:sz w:val="24"/>
          <w:szCs w:val="24"/>
        </w:rPr>
        <w:t>渣土改良及出碴量控制</w:t>
      </w:r>
    </w:p>
    <w:p>
      <w:pPr>
        <w:pStyle w:val="12"/>
        <w:numPr>
          <w:ilvl w:val="1"/>
          <w:numId w:val="4"/>
        </w:numPr>
        <w:ind w:firstLine="11" w:firstLineChars="0"/>
        <w:rPr>
          <w:rFonts w:ascii="微软雅黑" w:hAnsi="微软雅黑" w:eastAsia="微软雅黑"/>
          <w:b/>
          <w:bCs/>
          <w:sz w:val="24"/>
          <w:szCs w:val="24"/>
        </w:rPr>
      </w:pPr>
      <w:r>
        <w:rPr>
          <w:rFonts w:hint="eastAsia" w:ascii="微软雅黑" w:hAnsi="微软雅黑" w:eastAsia="微软雅黑"/>
          <w:b/>
          <w:bCs/>
          <w:sz w:val="24"/>
          <w:szCs w:val="24"/>
        </w:rPr>
        <w:t>盾构姿态、同步注浆、管片拼装质量控制</w:t>
      </w:r>
    </w:p>
    <w:p>
      <w:pPr>
        <w:pStyle w:val="12"/>
        <w:numPr>
          <w:ilvl w:val="1"/>
          <w:numId w:val="4"/>
        </w:numPr>
        <w:ind w:firstLine="11" w:firstLineChars="0"/>
        <w:rPr>
          <w:rFonts w:ascii="微软雅黑" w:hAnsi="微软雅黑" w:eastAsia="微软雅黑"/>
          <w:b/>
          <w:bCs/>
          <w:sz w:val="24"/>
          <w:szCs w:val="24"/>
        </w:rPr>
      </w:pPr>
      <w:r>
        <w:rPr>
          <w:rFonts w:hint="eastAsia" w:ascii="微软雅黑" w:hAnsi="微软雅黑" w:eastAsia="微软雅黑"/>
          <w:b/>
          <w:bCs/>
          <w:sz w:val="24"/>
          <w:szCs w:val="24"/>
        </w:rPr>
        <w:t>盾构测量</w:t>
      </w:r>
    </w:p>
    <w:p>
      <w:pPr>
        <w:pStyle w:val="12"/>
        <w:numPr>
          <w:ilvl w:val="1"/>
          <w:numId w:val="4"/>
        </w:numPr>
        <w:ind w:firstLine="11" w:firstLineChars="0"/>
        <w:rPr>
          <w:rFonts w:ascii="微软雅黑" w:hAnsi="微软雅黑" w:eastAsia="微软雅黑"/>
          <w:b/>
          <w:bCs/>
          <w:sz w:val="24"/>
          <w:szCs w:val="24"/>
        </w:rPr>
      </w:pPr>
      <w:r>
        <w:rPr>
          <w:rFonts w:hint="eastAsia" w:ascii="微软雅黑" w:hAnsi="微软雅黑" w:eastAsia="微软雅黑"/>
          <w:b/>
          <w:bCs/>
          <w:sz w:val="24"/>
          <w:szCs w:val="24"/>
        </w:rPr>
        <w:t>特殊地层掘进措施</w:t>
      </w:r>
    </w:p>
    <w:p>
      <w:pPr>
        <w:spacing w:line="480" w:lineRule="exact"/>
        <w:rPr>
          <w:rFonts w:ascii="微软雅黑" w:hAnsi="微软雅黑" w:eastAsia="微软雅黑" w:cs="微软雅黑"/>
          <w:b/>
          <w:color w:val="FF0000"/>
          <w:sz w:val="24"/>
        </w:rPr>
      </w:pPr>
      <w:r>
        <w:rPr>
          <w:rFonts w:hint="eastAsia" w:ascii="微软雅黑" w:hAnsi="微软雅黑" w:eastAsia="微软雅黑" w:cs="微软雅黑"/>
          <w:b/>
          <w:color w:val="FF0000"/>
          <w:sz w:val="24"/>
        </w:rPr>
        <w:t>第四部分：</w:t>
      </w:r>
      <w:r>
        <w:rPr>
          <w:rFonts w:hint="eastAsia" w:ascii="微软雅黑" w:hAnsi="微软雅黑" w:eastAsia="微软雅黑" w:cs="微软雅黑"/>
          <w:b/>
          <w:bCs/>
          <w:color w:val="FF0000"/>
          <w:sz w:val="24"/>
        </w:rPr>
        <w:t>事故案例简介</w:t>
      </w:r>
    </w:p>
    <w:p>
      <w:pPr>
        <w:pStyle w:val="12"/>
        <w:numPr>
          <w:ilvl w:val="1"/>
          <w:numId w:val="5"/>
        </w:numPr>
        <w:ind w:left="1276" w:hanging="425" w:firstLineChars="0"/>
        <w:rPr>
          <w:rFonts w:ascii="微软雅黑" w:hAnsi="微软雅黑" w:eastAsia="微软雅黑"/>
          <w:b/>
          <w:sz w:val="24"/>
          <w:szCs w:val="24"/>
        </w:rPr>
      </w:pPr>
      <w:r>
        <w:rPr>
          <w:rFonts w:ascii="微软雅黑" w:hAnsi="微软雅黑" w:eastAsia="微软雅黑"/>
          <w:b/>
          <w:sz w:val="24"/>
          <w:szCs w:val="24"/>
        </w:rPr>
        <w:t>始发、接收事故</w:t>
      </w:r>
      <w:r>
        <w:rPr>
          <w:rFonts w:hint="eastAsia" w:ascii="微软雅黑" w:hAnsi="微软雅黑" w:eastAsia="微软雅黑"/>
          <w:b/>
          <w:sz w:val="24"/>
          <w:szCs w:val="24"/>
        </w:rPr>
        <w:t>；</w:t>
      </w:r>
    </w:p>
    <w:p>
      <w:pPr>
        <w:pStyle w:val="12"/>
        <w:numPr>
          <w:ilvl w:val="1"/>
          <w:numId w:val="5"/>
        </w:numPr>
        <w:ind w:left="1276" w:hanging="425" w:firstLineChars="0"/>
        <w:rPr>
          <w:rFonts w:ascii="微软雅黑" w:hAnsi="微软雅黑" w:eastAsia="微软雅黑"/>
          <w:b/>
          <w:sz w:val="24"/>
          <w:szCs w:val="24"/>
        </w:rPr>
      </w:pPr>
      <w:r>
        <w:rPr>
          <w:rFonts w:hint="eastAsia" w:ascii="微软雅黑" w:hAnsi="微软雅黑" w:eastAsia="微软雅黑"/>
          <w:b/>
          <w:sz w:val="24"/>
          <w:szCs w:val="24"/>
        </w:rPr>
        <w:t>掘进施工事故；</w:t>
      </w:r>
    </w:p>
    <w:p>
      <w:pPr>
        <w:pStyle w:val="12"/>
        <w:numPr>
          <w:ilvl w:val="1"/>
          <w:numId w:val="5"/>
        </w:numPr>
        <w:ind w:left="1276" w:hanging="425" w:firstLineChars="0"/>
        <w:rPr>
          <w:rFonts w:hint="eastAsia" w:ascii="微软雅黑" w:hAnsi="微软雅黑" w:eastAsia="微软雅黑"/>
          <w:b/>
          <w:sz w:val="24"/>
          <w:szCs w:val="24"/>
        </w:rPr>
      </w:pPr>
      <w:r>
        <w:rPr>
          <w:rFonts w:hint="eastAsia" w:ascii="微软雅黑" w:hAnsi="微软雅黑" w:eastAsia="微软雅黑"/>
          <w:b/>
          <w:bCs/>
          <w:sz w:val="24"/>
          <w:szCs w:val="24"/>
        </w:rPr>
        <w:t>结语；</w:t>
      </w:r>
    </w:p>
    <w:p>
      <w:pPr>
        <w:pStyle w:val="12"/>
        <w:ind w:firstLine="0" w:firstLineChars="0"/>
        <w:rPr>
          <w:rFonts w:ascii="微软雅黑" w:hAnsi="微软雅黑" w:eastAsia="微软雅黑"/>
          <w:b/>
          <w:sz w:val="24"/>
          <w:szCs w:val="24"/>
        </w:rPr>
      </w:pPr>
    </w:p>
    <w:p>
      <w:pPr>
        <w:pStyle w:val="12"/>
        <w:ind w:firstLine="0" w:firstLineChars="0"/>
        <w:rPr>
          <w:rFonts w:ascii="微软雅黑" w:hAnsi="微软雅黑" w:eastAsia="微软雅黑"/>
          <w:b/>
          <w:sz w:val="24"/>
          <w:szCs w:val="24"/>
        </w:rPr>
      </w:pPr>
    </w:p>
    <w:p>
      <w:pPr>
        <w:pStyle w:val="12"/>
        <w:ind w:firstLine="0" w:firstLineChars="0"/>
        <w:rPr>
          <w:rFonts w:ascii="微软雅黑" w:hAnsi="微软雅黑" w:eastAsia="微软雅黑"/>
          <w:b/>
          <w:sz w:val="24"/>
          <w:szCs w:val="24"/>
        </w:rPr>
      </w:pPr>
    </w:p>
    <w:p>
      <w:pPr>
        <w:pStyle w:val="12"/>
        <w:ind w:firstLine="0" w:firstLineChars="0"/>
        <w:rPr>
          <w:rFonts w:ascii="微软雅黑" w:hAnsi="微软雅黑" w:eastAsia="微软雅黑"/>
          <w:b/>
          <w:sz w:val="24"/>
          <w:szCs w:val="24"/>
        </w:rPr>
      </w:pPr>
    </w:p>
    <w:p>
      <w:pPr>
        <w:pStyle w:val="12"/>
        <w:ind w:firstLine="0" w:firstLineChars="0"/>
        <w:rPr>
          <w:rFonts w:ascii="微软雅黑" w:hAnsi="微软雅黑" w:eastAsia="微软雅黑"/>
          <w:b/>
          <w:sz w:val="24"/>
          <w:szCs w:val="24"/>
        </w:rPr>
      </w:pPr>
    </w:p>
    <w:p>
      <w:pPr>
        <w:pStyle w:val="12"/>
        <w:ind w:firstLine="0" w:firstLineChars="0"/>
        <w:rPr>
          <w:rFonts w:ascii="微软雅黑" w:hAnsi="微软雅黑" w:eastAsia="微软雅黑"/>
          <w:b/>
          <w:sz w:val="24"/>
          <w:szCs w:val="24"/>
        </w:rPr>
      </w:pPr>
    </w:p>
    <w:p>
      <w:pPr>
        <w:pStyle w:val="12"/>
        <w:ind w:firstLine="0" w:firstLineChars="0"/>
        <w:rPr>
          <w:rFonts w:ascii="微软雅黑" w:hAnsi="微软雅黑" w:eastAsia="微软雅黑"/>
          <w:b/>
          <w:sz w:val="24"/>
          <w:szCs w:val="24"/>
        </w:rPr>
      </w:pPr>
    </w:p>
    <w:p>
      <w:pPr>
        <w:pStyle w:val="12"/>
        <w:ind w:firstLine="0" w:firstLineChars="0"/>
        <w:rPr>
          <w:rFonts w:ascii="微软雅黑" w:hAnsi="微软雅黑" w:eastAsia="微软雅黑"/>
          <w:b/>
          <w:sz w:val="24"/>
          <w:szCs w:val="24"/>
        </w:rPr>
      </w:pPr>
    </w:p>
    <w:p>
      <w:pPr>
        <w:pStyle w:val="12"/>
        <w:ind w:firstLine="0" w:firstLineChars="0"/>
        <w:rPr>
          <w:rFonts w:ascii="微软雅黑" w:hAnsi="微软雅黑" w:eastAsia="微软雅黑"/>
          <w:b/>
          <w:sz w:val="24"/>
          <w:szCs w:val="24"/>
        </w:rPr>
      </w:pPr>
    </w:p>
    <w:p>
      <w:pPr>
        <w:pStyle w:val="12"/>
        <w:ind w:firstLine="0" w:firstLineChars="0"/>
        <w:rPr>
          <w:rFonts w:ascii="微软雅黑" w:hAnsi="微软雅黑" w:eastAsia="微软雅黑"/>
          <w:b/>
          <w:sz w:val="24"/>
          <w:szCs w:val="24"/>
        </w:rPr>
      </w:pPr>
    </w:p>
    <w:p>
      <w:pPr>
        <w:pStyle w:val="12"/>
        <w:ind w:firstLine="0" w:firstLineChars="0"/>
        <w:rPr>
          <w:rFonts w:ascii="微软雅黑" w:hAnsi="微软雅黑" w:eastAsia="微软雅黑"/>
          <w:b/>
          <w:sz w:val="24"/>
          <w:szCs w:val="24"/>
        </w:rPr>
      </w:pPr>
    </w:p>
    <w:p>
      <w:pPr>
        <w:pStyle w:val="12"/>
        <w:ind w:firstLine="0" w:firstLineChars="0"/>
        <w:rPr>
          <w:rFonts w:ascii="微软雅黑" w:hAnsi="微软雅黑" w:eastAsia="微软雅黑"/>
          <w:b/>
          <w:sz w:val="24"/>
          <w:szCs w:val="24"/>
        </w:rPr>
      </w:pPr>
    </w:p>
    <w:p>
      <w:pPr>
        <w:pStyle w:val="12"/>
        <w:ind w:firstLine="0" w:firstLineChars="0"/>
        <w:rPr>
          <w:rFonts w:ascii="微软雅黑" w:hAnsi="微软雅黑" w:eastAsia="微软雅黑"/>
          <w:b/>
          <w:sz w:val="24"/>
          <w:szCs w:val="24"/>
        </w:rPr>
      </w:pPr>
    </w:p>
    <w:p>
      <w:pPr>
        <w:pStyle w:val="12"/>
        <w:ind w:firstLine="0" w:firstLineChars="0"/>
        <w:rPr>
          <w:rFonts w:ascii="微软雅黑" w:hAnsi="微软雅黑" w:eastAsia="微软雅黑"/>
          <w:b/>
          <w:sz w:val="24"/>
          <w:szCs w:val="24"/>
        </w:rPr>
      </w:pPr>
    </w:p>
    <w:p>
      <w:pPr>
        <w:pStyle w:val="12"/>
        <w:ind w:firstLine="0" w:firstLineChars="0"/>
        <w:rPr>
          <w:rFonts w:ascii="微软雅黑" w:hAnsi="微软雅黑" w:eastAsia="微软雅黑"/>
          <w:b/>
          <w:sz w:val="24"/>
          <w:szCs w:val="24"/>
        </w:rPr>
      </w:pPr>
    </w:p>
    <w:p>
      <w:pPr>
        <w:pStyle w:val="12"/>
        <w:ind w:firstLine="0" w:firstLineChars="0"/>
        <w:rPr>
          <w:rFonts w:ascii="微软雅黑" w:hAnsi="微软雅黑" w:eastAsia="微软雅黑"/>
          <w:b/>
          <w:sz w:val="24"/>
          <w:szCs w:val="24"/>
        </w:rPr>
      </w:pPr>
    </w:p>
    <w:p>
      <w:pPr>
        <w:pStyle w:val="12"/>
        <w:ind w:firstLine="0" w:firstLineChars="0"/>
        <w:rPr>
          <w:rFonts w:ascii="微软雅黑" w:hAnsi="微软雅黑" w:eastAsia="微软雅黑"/>
          <w:b/>
          <w:sz w:val="24"/>
          <w:szCs w:val="24"/>
        </w:rPr>
      </w:pPr>
    </w:p>
    <w:p>
      <w:pPr>
        <w:pStyle w:val="12"/>
        <w:ind w:firstLine="0" w:firstLineChars="0"/>
        <w:rPr>
          <w:rFonts w:ascii="微软雅黑" w:hAnsi="微软雅黑" w:eastAsia="微软雅黑"/>
          <w:b/>
          <w:sz w:val="24"/>
          <w:szCs w:val="24"/>
        </w:rPr>
      </w:pPr>
    </w:p>
    <w:p>
      <w:pPr>
        <w:pStyle w:val="12"/>
        <w:ind w:firstLine="0" w:firstLineChars="0"/>
        <w:rPr>
          <w:rFonts w:ascii="微软雅黑" w:hAnsi="微软雅黑" w:eastAsia="微软雅黑"/>
          <w:b/>
          <w:sz w:val="24"/>
          <w:szCs w:val="24"/>
        </w:rPr>
      </w:pPr>
    </w:p>
    <w:p>
      <w:pPr>
        <w:pStyle w:val="12"/>
        <w:ind w:firstLine="0" w:firstLineChars="0"/>
        <w:rPr>
          <w:rFonts w:ascii="微软雅黑" w:hAnsi="微软雅黑" w:eastAsia="微软雅黑"/>
          <w:b/>
          <w:sz w:val="24"/>
          <w:szCs w:val="24"/>
        </w:rPr>
      </w:pPr>
    </w:p>
    <w:p>
      <w:pPr>
        <w:pStyle w:val="12"/>
        <w:ind w:firstLine="0" w:firstLineChars="0"/>
        <w:rPr>
          <w:rFonts w:ascii="微软雅黑" w:hAnsi="微软雅黑" w:eastAsia="微软雅黑"/>
          <w:b/>
          <w:sz w:val="24"/>
          <w:szCs w:val="24"/>
        </w:rPr>
      </w:pPr>
    </w:p>
    <w:p>
      <w:pPr>
        <w:pStyle w:val="12"/>
        <w:ind w:firstLine="0" w:firstLineChars="0"/>
        <w:rPr>
          <w:rFonts w:ascii="微软雅黑" w:hAnsi="微软雅黑" w:eastAsia="微软雅黑"/>
          <w:b/>
          <w:sz w:val="24"/>
          <w:szCs w:val="24"/>
        </w:rPr>
      </w:pPr>
    </w:p>
    <w:p>
      <w:pPr>
        <w:pStyle w:val="12"/>
        <w:ind w:firstLine="0" w:firstLineChars="0"/>
        <w:rPr>
          <w:rFonts w:hint="eastAsia" w:ascii="微软雅黑" w:hAnsi="微软雅黑" w:eastAsia="微软雅黑"/>
          <w:b/>
          <w:sz w:val="24"/>
          <w:szCs w:val="24"/>
        </w:rPr>
      </w:pPr>
    </w:p>
    <w:p>
      <w:pPr>
        <w:pStyle w:val="12"/>
        <w:ind w:firstLine="0" w:firstLineChars="0"/>
        <w:rPr>
          <w:rFonts w:hint="eastAsia" w:ascii="微软雅黑" w:hAnsi="微软雅黑" w:eastAsia="微软雅黑"/>
          <w:b/>
          <w:sz w:val="24"/>
          <w:szCs w:val="24"/>
        </w:rPr>
      </w:pPr>
    </w:p>
    <w:p>
      <w:pPr>
        <w:spacing w:line="700" w:lineRule="exact"/>
        <w:jc w:val="center"/>
        <w:rPr>
          <w:rFonts w:ascii="微软雅黑" w:hAnsi="微软雅黑" w:eastAsia="微软雅黑" w:cs="宋体"/>
          <w:b/>
          <w:color w:val="404040"/>
          <w:spacing w:val="10"/>
          <w:szCs w:val="21"/>
        </w:rPr>
      </w:pPr>
      <w:bookmarkStart w:id="1" w:name="_Hlk106713002"/>
      <w:r>
        <w:rPr>
          <w:rFonts w:ascii="微软雅黑" w:hAnsi="微软雅黑" w:eastAsia="微软雅黑" w:cs="宋体"/>
          <w:b/>
          <w:color w:val="404040"/>
          <w:spacing w:val="10"/>
          <w:szCs w:val="21"/>
          <w:lang/>
        </w:rPr>
        <w:drawing>
          <wp:inline distT="0" distB="0" distL="114300" distR="114300">
            <wp:extent cx="6478270" cy="431800"/>
            <wp:effectExtent l="0" t="0" r="13970" b="10160"/>
            <wp:docPr id="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pic:cNvPicPr>
                      <a:picLocks noChangeAspect="1"/>
                    </pic:cNvPicPr>
                  </pic:nvPicPr>
                  <pic:blipFill>
                    <a:blip r:embed="rId5"/>
                    <a:stretch>
                      <a:fillRect/>
                    </a:stretch>
                  </pic:blipFill>
                  <pic:spPr>
                    <a:xfrm>
                      <a:off x="0" y="0"/>
                      <a:ext cx="6478270" cy="431800"/>
                    </a:xfrm>
                    <a:prstGeom prst="rect">
                      <a:avLst/>
                    </a:prstGeom>
                    <a:noFill/>
                    <a:ln>
                      <a:noFill/>
                    </a:ln>
                  </pic:spPr>
                </pic:pic>
              </a:graphicData>
            </a:graphic>
          </wp:inline>
        </w:drawing>
      </w:r>
    </w:p>
    <w:p>
      <w:pPr>
        <w:adjustRightInd w:val="0"/>
        <w:snapToGrid w:val="0"/>
        <w:spacing w:line="288" w:lineRule="auto"/>
        <w:rPr>
          <w:rFonts w:ascii="微软雅黑" w:hAnsi="微软雅黑" w:eastAsia="微软雅黑" w:cs="宋体"/>
          <w:b/>
          <w:color w:val="404040"/>
          <w:spacing w:val="10"/>
          <w:szCs w:val="21"/>
        </w:rPr>
      </w:pPr>
    </w:p>
    <w:p>
      <w:pPr>
        <w:adjustRightInd w:val="0"/>
        <w:snapToGrid w:val="0"/>
        <w:spacing w:line="288" w:lineRule="auto"/>
        <w:rPr>
          <w:rFonts w:ascii="微软雅黑" w:hAnsi="微软雅黑" w:eastAsia="微软雅黑" w:cs="宋体"/>
          <w:b/>
          <w:bCs/>
          <w:color w:val="404040"/>
          <w:spacing w:val="10"/>
          <w:sz w:val="32"/>
          <w:szCs w:val="32"/>
        </w:rPr>
      </w:pPr>
      <w:r>
        <w:rPr>
          <w:rFonts w:hint="eastAsia" w:ascii="微软雅黑" w:hAnsi="微软雅黑" w:eastAsia="微软雅黑" w:cs="宋体"/>
          <w:b/>
          <w:bCs/>
          <w:color w:val="404040"/>
          <w:spacing w:val="10"/>
          <w:sz w:val="32"/>
          <w:szCs w:val="32"/>
        </w:rPr>
        <w:t>杨帆老师</w:t>
      </w:r>
    </w:p>
    <w:p>
      <w:pPr>
        <w:adjustRightInd w:val="0"/>
        <w:snapToGrid w:val="0"/>
        <w:spacing w:line="288" w:lineRule="auto"/>
        <w:rPr>
          <w:rFonts w:ascii="微软雅黑" w:hAnsi="微软雅黑" w:eastAsia="微软雅黑" w:cs="宋体"/>
          <w:b/>
          <w:bCs/>
          <w:color w:val="404040"/>
          <w:spacing w:val="10"/>
          <w:sz w:val="32"/>
          <w:szCs w:val="32"/>
        </w:rPr>
      </w:pPr>
      <w:r>
        <w:rPr>
          <w:rFonts w:ascii="微软雅黑" w:hAnsi="微软雅黑" w:eastAsia="微软雅黑" w:cs="宋体"/>
          <w:b/>
          <w:color w:val="000000"/>
          <w:spacing w:val="10"/>
          <w:sz w:val="32"/>
          <w:szCs w:val="32"/>
          <w:lang/>
        </w:rPr>
        <w:drawing>
          <wp:inline distT="0" distB="0" distL="114300" distR="114300">
            <wp:extent cx="6172200" cy="411480"/>
            <wp:effectExtent l="0" t="0" r="0" b="0"/>
            <wp:docPr id="2" name="图片 2" descr="职业背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职业背景"/>
                    <pic:cNvPicPr>
                      <a:picLocks noChangeAspect="1"/>
                    </pic:cNvPicPr>
                  </pic:nvPicPr>
                  <pic:blipFill>
                    <a:blip r:embed="rId6"/>
                    <a:stretch>
                      <a:fillRect/>
                    </a:stretch>
                  </pic:blipFill>
                  <pic:spPr>
                    <a:xfrm>
                      <a:off x="0" y="0"/>
                      <a:ext cx="6172200" cy="411480"/>
                    </a:xfrm>
                    <a:prstGeom prst="rect">
                      <a:avLst/>
                    </a:prstGeom>
                    <a:noFill/>
                    <a:ln>
                      <a:noFill/>
                    </a:ln>
                  </pic:spPr>
                </pic:pic>
              </a:graphicData>
            </a:graphic>
          </wp:inline>
        </w:drawing>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原华夏幸福分管（设计/采购/成本/工程/客服/全面质量）副总裁</w:t>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原当代节能置业首席工程师（总裁级）</w:t>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原山东儒辰集团分管设计副总裁 </w:t>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原当代节能置业工程管理中心/采购成本中心/研发设计中心总经理</w:t>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原第一资产董事长助理/总工程师</w:t>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原福晟集团工程管理中心总经理</w:t>
      </w:r>
    </w:p>
    <w:p>
      <w:pPr>
        <w:pStyle w:val="12"/>
        <w:widowControl/>
        <w:numPr>
          <w:ilvl w:val="0"/>
          <w:numId w:val="6"/>
        </w:numPr>
        <w:adjustRightInd w:val="0"/>
        <w:snapToGrid w:val="0"/>
        <w:spacing w:line="288" w:lineRule="auto"/>
        <w:ind w:firstLineChars="0"/>
        <w:jc w:val="left"/>
        <w:rPr>
          <w:rFonts w:ascii="微软雅黑" w:hAnsi="微软雅黑" w:eastAsia="微软雅黑" w:cs="宋体"/>
          <w:b/>
          <w:bCs/>
          <w:color w:val="404040"/>
          <w:spacing w:val="10"/>
          <w:szCs w:val="21"/>
          <w:highlight w:val="yellow"/>
        </w:rPr>
      </w:pPr>
      <w:r>
        <w:rPr>
          <w:rFonts w:hint="eastAsia" w:ascii="微软雅黑" w:hAnsi="微软雅黑" w:eastAsia="微软雅黑" w:cs="宋体"/>
          <w:b/>
          <w:bCs/>
          <w:color w:val="404040"/>
          <w:spacing w:val="10"/>
          <w:szCs w:val="21"/>
          <w:highlight w:val="yellow"/>
        </w:rPr>
        <w:t>原中建一局发展项目经理；</w:t>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清华大学工业工程硕士/华中科技大学城市规划专业学士</w:t>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高级工程师/注册一级建造师                     </w:t>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中国房地产技术联盟总工之家副秘书长 总工之家专家委员会副主任委员 </w:t>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零渗漏专业工作委员会主任 </w:t>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全联房地产商会全装修产业分会首席专家</w:t>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中国工程招采协会副秘书长 </w:t>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中国门窗幕墙标准化工作委员会专家委员</w:t>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中国金属结构协会钢木门窗委员会专家委员 </w:t>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中国金属结构协会塑料门窗委员会副主任委员 </w:t>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中国建筑玻璃与工业玻璃协会专家委员</w:t>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中国塑料工业协会塑料管材委员会副主任委员</w:t>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中国绿色建筑委员会委员</w:t>
      </w:r>
    </w:p>
    <w:p>
      <w:pPr>
        <w:adjustRightInd w:val="0"/>
        <w:snapToGrid w:val="0"/>
        <w:spacing w:before="240" w:line="288" w:lineRule="auto"/>
        <w:rPr>
          <w:rFonts w:ascii="微软雅黑" w:hAnsi="微软雅黑" w:eastAsia="微软雅黑" w:cs="宋体"/>
          <w:b/>
          <w:color w:val="404040"/>
          <w:spacing w:val="10"/>
          <w:szCs w:val="21"/>
        </w:rPr>
      </w:pPr>
      <w:r>
        <w:rPr>
          <w:rFonts w:ascii="微软雅黑" w:hAnsi="微软雅黑" w:eastAsia="微软雅黑" w:cs="宋体"/>
          <w:b/>
          <w:color w:val="000000"/>
          <w:spacing w:val="10"/>
          <w:szCs w:val="21"/>
          <w:lang/>
        </w:rPr>
        <w:drawing>
          <wp:inline distT="0" distB="0" distL="114300" distR="114300">
            <wp:extent cx="6188710" cy="412750"/>
            <wp:effectExtent l="0" t="0" r="13970" b="13970"/>
            <wp:docPr id="3"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9"/>
                    <pic:cNvPicPr>
                      <a:picLocks noChangeAspect="1"/>
                    </pic:cNvPicPr>
                  </pic:nvPicPr>
                  <pic:blipFill>
                    <a:blip r:embed="rId7"/>
                    <a:stretch>
                      <a:fillRect/>
                    </a:stretch>
                  </pic:blipFill>
                  <pic:spPr>
                    <a:xfrm>
                      <a:off x="0" y="0"/>
                      <a:ext cx="6188710" cy="412750"/>
                    </a:xfrm>
                    <a:prstGeom prst="rect">
                      <a:avLst/>
                    </a:prstGeom>
                    <a:noFill/>
                    <a:ln>
                      <a:noFill/>
                    </a:ln>
                  </pic:spPr>
                </pic:pic>
              </a:graphicData>
            </a:graphic>
          </wp:inline>
        </w:drawing>
      </w:r>
    </w:p>
    <w:p>
      <w:pPr>
        <w:pStyle w:val="12"/>
        <w:widowControl/>
        <w:numPr>
          <w:ilvl w:val="0"/>
          <w:numId w:val="7"/>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北京万科、大连万科、融创地产、恒大地产、龙湖地产、黑龙江保利、辽宁保利、保利京津冀、保利淮海、保利华南、江西保利、广东保利、中海地产、绿地香港、绿地一部、绿城地产、蓝城集团、华润置地、华夏幸福、中粮置地、旭辉地产、招商蛇口、金科地产、金辉地产、金地地产、金融街、佳兆业、中铁建、鲁能地产、众安集团、天阳控股、中建东孚、钱城开发、陕西万众、远洋地产、奥园地产、五矿地产、仁恒地产、越秀地产、华发地产、祥生地产、正荣地产、星河集团、信和置业、晶泽实业、中天美好、路劲地产、建业集团、福晟集团、当代置业、儒辰集团、北京建工、电建地产、北京城建地产等</w:t>
      </w:r>
    </w:p>
    <w:p>
      <w:pPr>
        <w:pStyle w:val="12"/>
        <w:adjustRightInd w:val="0"/>
        <w:snapToGrid w:val="0"/>
        <w:spacing w:line="288" w:lineRule="auto"/>
        <w:ind w:firstLine="460"/>
        <w:rPr>
          <w:rFonts w:ascii="微软雅黑" w:hAnsi="微软雅黑" w:eastAsia="微软雅黑" w:cs="宋体"/>
          <w:color w:val="404040"/>
          <w:spacing w:val="10"/>
          <w:szCs w:val="21"/>
        </w:rPr>
      </w:pPr>
    </w:p>
    <w:p>
      <w:pPr>
        <w:spacing w:line="360" w:lineRule="auto"/>
        <w:rPr>
          <w:rFonts w:ascii="微软雅黑" w:hAnsi="微软雅黑" w:eastAsia="微软雅黑" w:cs="宋体"/>
          <w:color w:val="000000"/>
          <w:spacing w:val="10"/>
          <w:szCs w:val="21"/>
          <w:lang/>
        </w:rPr>
      </w:pPr>
      <w:r>
        <w:rPr>
          <w:rFonts w:ascii="微软雅黑" w:hAnsi="微软雅黑" w:eastAsia="微软雅黑" w:cs="宋体"/>
          <w:color w:val="000000"/>
          <w:spacing w:val="10"/>
          <w:szCs w:val="21"/>
          <w:lang/>
        </w:rPr>
        <w:drawing>
          <wp:inline distT="0" distB="0" distL="114300" distR="114300">
            <wp:extent cx="6188710" cy="412750"/>
            <wp:effectExtent l="0" t="0" r="13970" b="13970"/>
            <wp:docPr id="4"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0"/>
                    <pic:cNvPicPr>
                      <a:picLocks noChangeAspect="1"/>
                    </pic:cNvPicPr>
                  </pic:nvPicPr>
                  <pic:blipFill>
                    <a:blip r:embed="rId8"/>
                    <a:stretch>
                      <a:fillRect/>
                    </a:stretch>
                  </pic:blipFill>
                  <pic:spPr>
                    <a:xfrm>
                      <a:off x="0" y="0"/>
                      <a:ext cx="6188710" cy="412750"/>
                    </a:xfrm>
                    <a:prstGeom prst="rect">
                      <a:avLst/>
                    </a:prstGeom>
                    <a:noFill/>
                    <a:ln>
                      <a:noFill/>
                    </a:ln>
                  </pic:spPr>
                </pic:pic>
              </a:graphicData>
            </a:graphic>
          </wp:inline>
        </w:drawing>
      </w:r>
    </w:p>
    <w:bookmarkEnd w:id="1"/>
    <w:p>
      <w:pPr>
        <w:spacing w:line="360" w:lineRule="auto"/>
        <w:rPr>
          <w:rFonts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维度一：运营管理和项目管理类课程（</w:t>
      </w:r>
      <w:r>
        <w:rPr>
          <w:rFonts w:ascii="微软雅黑" w:hAnsi="微软雅黑" w:eastAsia="微软雅黑" w:cs="微软雅黑"/>
          <w:b/>
          <w:color w:val="404040"/>
          <w:szCs w:val="21"/>
          <w:u w:val="single"/>
        </w:rPr>
        <w:t>9</w:t>
      </w:r>
      <w:r>
        <w:rPr>
          <w:rFonts w:hint="eastAsia" w:ascii="微软雅黑" w:hAnsi="微软雅黑" w:eastAsia="微软雅黑" w:cs="微软雅黑"/>
          <w:b/>
          <w:color w:val="404040"/>
          <w:szCs w:val="21"/>
          <w:u w:val="single"/>
        </w:rPr>
        <w:t>门课）</w:t>
      </w:r>
    </w:p>
    <w:p>
      <w:pPr>
        <w:numPr>
          <w:ilvl w:val="0"/>
          <w:numId w:val="8"/>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《标杆房企工程管理客户满意度提升管理要点及实战案例》</w:t>
      </w:r>
      <w:r>
        <w:rPr>
          <w:rFonts w:hint="eastAsia" w:ascii="微软雅黑" w:hAnsi="微软雅黑" w:eastAsia="微软雅黑" w:cs="微软雅黑"/>
          <w:b/>
          <w:color w:val="404040"/>
          <w:szCs w:val="21"/>
        </w:rPr>
        <w:t>（数百家企业项目管理提升课程，提升整合员工工程管理能力，快速提升客户交付满意度）</w:t>
      </w:r>
    </w:p>
    <w:p>
      <w:pPr>
        <w:numPr>
          <w:ilvl w:val="0"/>
          <w:numId w:val="8"/>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《标杆房企工程管理之道与工程策划的管控要点及实战案例》</w:t>
      </w:r>
      <w:r>
        <w:rPr>
          <w:rFonts w:hint="eastAsia" w:ascii="微软雅黑" w:hAnsi="微软雅黑" w:eastAsia="微软雅黑" w:cs="微软雅黑"/>
          <w:b/>
          <w:color w:val="404040"/>
          <w:szCs w:val="21"/>
        </w:rPr>
        <w:t>（数百家企业项目管理提升课程，提升整合员工项目预判和预控管理能力）</w:t>
      </w:r>
    </w:p>
    <w:p>
      <w:pPr>
        <w:numPr>
          <w:ilvl w:val="0"/>
          <w:numId w:val="8"/>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《标杆房企工程管理之道与项目管理的管控要点及实战案例》</w:t>
      </w:r>
      <w:r>
        <w:rPr>
          <w:rFonts w:hint="eastAsia" w:ascii="微软雅黑" w:hAnsi="微软雅黑" w:eastAsia="微软雅黑" w:cs="微软雅黑"/>
          <w:b/>
          <w:color w:val="404040"/>
          <w:szCs w:val="21"/>
        </w:rPr>
        <w:t>（数百家企业项目管理提升课程，提升整合员工项目综合管理能力）</w:t>
      </w:r>
    </w:p>
    <w:p>
      <w:pPr>
        <w:numPr>
          <w:ilvl w:val="0"/>
          <w:numId w:val="8"/>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w:t>
      </w:r>
      <w:bookmarkStart w:id="2" w:name="_Hlk118432381"/>
      <w:r>
        <w:rPr>
          <w:rFonts w:hint="eastAsia" w:ascii="微软雅黑" w:hAnsi="微软雅黑" w:eastAsia="微软雅黑" w:cs="微软雅黑"/>
          <w:color w:val="404040"/>
          <w:szCs w:val="21"/>
        </w:rPr>
        <w:t>工程精益管理</w:t>
      </w:r>
      <w:bookmarkEnd w:id="2"/>
      <w:r>
        <w:rPr>
          <w:rFonts w:hint="eastAsia" w:ascii="微软雅黑" w:hAnsi="微软雅黑" w:eastAsia="微软雅黑" w:cs="微软雅黑"/>
          <w:color w:val="404040"/>
          <w:szCs w:val="21"/>
        </w:rPr>
        <w:t>的管控要点及实战案例》</w:t>
      </w:r>
      <w:r>
        <w:rPr>
          <w:rFonts w:hint="eastAsia" w:ascii="微软雅黑" w:hAnsi="微软雅黑" w:eastAsia="微软雅黑" w:cs="微软雅黑"/>
          <w:b/>
          <w:color w:val="404040"/>
          <w:szCs w:val="21"/>
        </w:rPr>
        <w:t>（数百家企业项目管理提升课程，提升整合员工程精益管理能力，降低现场成本，消除浪费，提高效益）</w:t>
      </w:r>
    </w:p>
    <w:p>
      <w:pPr>
        <w:numPr>
          <w:ilvl w:val="0"/>
          <w:numId w:val="8"/>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《标杆房企旧城改造项目工程管理核心解析及实操案例》</w:t>
      </w:r>
      <w:r>
        <w:rPr>
          <w:rFonts w:hint="eastAsia" w:ascii="微软雅黑" w:hAnsi="微软雅黑" w:eastAsia="微软雅黑" w:cs="微软雅黑"/>
          <w:b/>
          <w:color w:val="404040"/>
          <w:szCs w:val="21"/>
        </w:rPr>
        <w:t>（针对标杆企业的旧改项目工程管理提升课程，提升整合员工旧改项目综合管理能力）</w:t>
      </w:r>
    </w:p>
    <w:p>
      <w:pPr>
        <w:numPr>
          <w:ilvl w:val="0"/>
          <w:numId w:val="8"/>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《标杆房企项目开发全流程管理核心解析及实战案例》</w:t>
      </w:r>
      <w:r>
        <w:rPr>
          <w:rFonts w:hint="eastAsia" w:ascii="微软雅黑" w:hAnsi="微软雅黑" w:eastAsia="微软雅黑" w:cs="微软雅黑"/>
          <w:b/>
          <w:color w:val="404040"/>
          <w:szCs w:val="21"/>
        </w:rPr>
        <w:t>（数百家企业项目管理提升课程，提升整合员工全流程管理意识能力，掌握项目开发全流程知识体系）</w:t>
      </w:r>
    </w:p>
    <w:p>
      <w:pPr>
        <w:numPr>
          <w:ilvl w:val="0"/>
          <w:numId w:val="8"/>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w:t>
      </w:r>
      <w:bookmarkStart w:id="3" w:name="_Hlk118432986"/>
      <w:r>
        <w:rPr>
          <w:rFonts w:hint="eastAsia" w:ascii="微软雅黑" w:hAnsi="微软雅黑" w:eastAsia="微软雅黑" w:cs="微软雅黑"/>
          <w:color w:val="404040"/>
          <w:szCs w:val="21"/>
        </w:rPr>
        <w:t>项目总角色定位与项目管理能力</w:t>
      </w:r>
      <w:bookmarkEnd w:id="3"/>
      <w:r>
        <w:rPr>
          <w:rFonts w:hint="eastAsia" w:ascii="微软雅黑" w:hAnsi="微软雅黑" w:eastAsia="微软雅黑" w:cs="微软雅黑"/>
          <w:color w:val="404040"/>
          <w:szCs w:val="21"/>
        </w:rPr>
        <w:t>提升及实战案例》（</w:t>
      </w:r>
      <w:r>
        <w:rPr>
          <w:rFonts w:hint="eastAsia" w:ascii="微软雅黑" w:hAnsi="微软雅黑" w:eastAsia="微软雅黑" w:cs="微软雅黑"/>
          <w:b/>
          <w:color w:val="404040"/>
          <w:szCs w:val="21"/>
        </w:rPr>
        <w:t>近百家企业管理提升课程，提升整合员工项目总角色定位与项目管理能力</w:t>
      </w:r>
      <w:r>
        <w:rPr>
          <w:rFonts w:hint="eastAsia" w:ascii="微软雅黑" w:hAnsi="微软雅黑" w:eastAsia="微软雅黑" w:cs="微软雅黑"/>
          <w:color w:val="404040"/>
          <w:szCs w:val="21"/>
        </w:rPr>
        <w:t>）</w:t>
      </w:r>
    </w:p>
    <w:p>
      <w:pPr>
        <w:numPr>
          <w:ilvl w:val="0"/>
          <w:numId w:val="8"/>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《标杆房企招采成本供方管控的管理要点及谈判实战案例》</w:t>
      </w:r>
      <w:r>
        <w:rPr>
          <w:rFonts w:hint="eastAsia" w:ascii="微软雅黑" w:hAnsi="微软雅黑" w:eastAsia="微软雅黑" w:cs="微软雅黑"/>
          <w:b/>
          <w:color w:val="404040"/>
          <w:szCs w:val="21"/>
        </w:rPr>
        <w:t>（数百家企业项目管理提升课程，提升整合员工项目供方管理能力，谈判管理意识）</w:t>
      </w:r>
    </w:p>
    <w:p>
      <w:pPr>
        <w:numPr>
          <w:ilvl w:val="0"/>
          <w:numId w:val="8"/>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《标杆房企项目总角色定位与全周期项目管理能力提升要点及实战案例》</w:t>
      </w:r>
      <w:r>
        <w:rPr>
          <w:rFonts w:hint="eastAsia" w:ascii="微软雅黑" w:hAnsi="微软雅黑" w:eastAsia="微软雅黑" w:cs="微软雅黑"/>
          <w:b/>
          <w:color w:val="404040"/>
          <w:szCs w:val="21"/>
        </w:rPr>
        <w:t>（近百家企业管理提升课程，提升员工项目总角色定位与全周期项目管理能力，把控项目目标</w:t>
      </w:r>
      <w:r>
        <w:rPr>
          <w:rFonts w:hint="eastAsia" w:ascii="微软雅黑" w:hAnsi="微软雅黑" w:eastAsia="微软雅黑" w:cs="微软雅黑"/>
          <w:bCs/>
          <w:color w:val="404040"/>
          <w:szCs w:val="21"/>
        </w:rPr>
        <w:t>）</w:t>
      </w: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维度二：管理者自身和团队能力提升（4门课）</w:t>
      </w:r>
    </w:p>
    <w:p>
      <w:pPr>
        <w:numPr>
          <w:ilvl w:val="0"/>
          <w:numId w:val="9"/>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《标杆房企工程标准化和协同管理的管控要点及实战案例》</w:t>
      </w:r>
      <w:r>
        <w:rPr>
          <w:rFonts w:hint="eastAsia" w:ascii="微软雅黑" w:hAnsi="微软雅黑" w:eastAsia="微软雅黑" w:cs="微软雅黑"/>
          <w:b/>
          <w:color w:val="404040"/>
          <w:szCs w:val="21"/>
        </w:rPr>
        <w:t>（近百家企业内训课程，提升整合员工工程管理专业工程标准化和协同管理能力）</w:t>
      </w:r>
    </w:p>
    <w:p>
      <w:pPr>
        <w:numPr>
          <w:ilvl w:val="0"/>
          <w:numId w:val="9"/>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《标杆房企战略领导力培训》</w:t>
      </w:r>
      <w:r>
        <w:rPr>
          <w:rFonts w:hint="eastAsia" w:ascii="微软雅黑" w:hAnsi="微软雅黑" w:eastAsia="微软雅黑" w:cs="微软雅黑"/>
          <w:b/>
          <w:color w:val="404040"/>
          <w:szCs w:val="21"/>
        </w:rPr>
        <w:t>（近百家企业内训课程，提升整合员工战略领导力管理，打通多维管理意识）</w:t>
      </w:r>
    </w:p>
    <w:p>
      <w:pPr>
        <w:numPr>
          <w:ilvl w:val="0"/>
          <w:numId w:val="9"/>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《标杆房企工程跨部门沟通谈判的管控要点及实战案例》（</w:t>
      </w:r>
      <w:r>
        <w:rPr>
          <w:rFonts w:hint="eastAsia" w:ascii="微软雅黑" w:hAnsi="微软雅黑" w:eastAsia="微软雅黑" w:cs="微软雅黑"/>
          <w:b/>
          <w:color w:val="404040"/>
          <w:szCs w:val="21"/>
        </w:rPr>
        <w:t>近百家企业内训课程，提升整合员工跨部门沟通谈判管理能力，打通跨部门沟通谈判管理意识</w:t>
      </w:r>
      <w:r>
        <w:rPr>
          <w:rFonts w:hint="eastAsia" w:ascii="微软雅黑" w:hAnsi="微软雅黑" w:eastAsia="微软雅黑" w:cs="微软雅黑"/>
          <w:color w:val="404040"/>
          <w:szCs w:val="21"/>
        </w:rPr>
        <w:t>）</w:t>
      </w:r>
    </w:p>
    <w:p>
      <w:pPr>
        <w:numPr>
          <w:ilvl w:val="0"/>
          <w:numId w:val="9"/>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《标杆房企工程舆情及沟通谈判的管控要点及实战案例》（</w:t>
      </w:r>
      <w:r>
        <w:rPr>
          <w:rFonts w:hint="eastAsia" w:ascii="微软雅黑" w:hAnsi="微软雅黑" w:eastAsia="微软雅黑" w:cs="微软雅黑"/>
          <w:b/>
          <w:color w:val="404040"/>
          <w:szCs w:val="21"/>
        </w:rPr>
        <w:t>近百家企业内训课程，提升整合员工舆情及沟通谈判能力，打通舆情及沟通谈判管理意识</w:t>
      </w:r>
      <w:r>
        <w:rPr>
          <w:rFonts w:hint="eastAsia" w:ascii="微软雅黑" w:hAnsi="微软雅黑" w:eastAsia="微软雅黑" w:cs="微软雅黑"/>
          <w:color w:val="404040"/>
          <w:szCs w:val="21"/>
        </w:rPr>
        <w:t>）</w:t>
      </w:r>
    </w:p>
    <w:p>
      <w:pPr>
        <w:spacing w:line="360" w:lineRule="auto"/>
        <w:rPr>
          <w:rFonts w:hint="eastAsia" w:ascii="微软雅黑" w:hAnsi="微软雅黑" w:eastAsia="微软雅黑" w:cs="微软雅黑"/>
          <w:b/>
          <w:color w:val="404040"/>
          <w:szCs w:val="21"/>
          <w:u w:val="single"/>
        </w:rPr>
      </w:pP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维度三：专业技术管理类课程（1</w:t>
      </w:r>
      <w:r>
        <w:rPr>
          <w:rFonts w:ascii="微软雅黑" w:hAnsi="微软雅黑" w:eastAsia="微软雅黑" w:cs="微软雅黑"/>
          <w:b/>
          <w:color w:val="404040"/>
          <w:szCs w:val="21"/>
          <w:u w:val="single"/>
        </w:rPr>
        <w:t>3</w:t>
      </w:r>
      <w:r>
        <w:rPr>
          <w:rFonts w:hint="eastAsia" w:ascii="微软雅黑" w:hAnsi="微软雅黑" w:eastAsia="微软雅黑" w:cs="微软雅黑"/>
          <w:b/>
          <w:color w:val="404040"/>
          <w:szCs w:val="21"/>
          <w:u w:val="single"/>
        </w:rPr>
        <w:t>门课）</w:t>
      </w:r>
    </w:p>
    <w:p>
      <w:pPr>
        <w:numPr>
          <w:ilvl w:val="0"/>
          <w:numId w:val="10"/>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《标杆房企建筑零渗漏节点构造分析及实战案例》(</w:t>
      </w:r>
      <w:r>
        <w:rPr>
          <w:rFonts w:hint="eastAsia" w:ascii="微软雅黑" w:hAnsi="微软雅黑" w:eastAsia="微软雅黑" w:cs="微软雅黑"/>
          <w:b/>
          <w:color w:val="404040"/>
          <w:szCs w:val="21"/>
        </w:rPr>
        <w:t>多家央企工程管理提升课程</w:t>
      </w:r>
      <w:r>
        <w:rPr>
          <w:rFonts w:hint="eastAsia" w:ascii="微软雅黑" w:hAnsi="微软雅黑" w:eastAsia="微软雅黑" w:cs="微软雅黑"/>
          <w:color w:val="404040"/>
          <w:szCs w:val="21"/>
        </w:rPr>
        <w:t>)</w:t>
      </w:r>
    </w:p>
    <w:p>
      <w:pPr>
        <w:numPr>
          <w:ilvl w:val="0"/>
          <w:numId w:val="10"/>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《标杆房企工程管理之零渗漏防裂缝防塌陷体系》(</w:t>
      </w:r>
      <w:r>
        <w:rPr>
          <w:rFonts w:hint="eastAsia" w:ascii="微软雅黑" w:hAnsi="微软雅黑" w:eastAsia="微软雅黑" w:cs="微软雅黑"/>
          <w:b/>
          <w:color w:val="404040"/>
          <w:szCs w:val="21"/>
        </w:rPr>
        <w:t>多家央企零渗漏防裂缝防塌陷管理提升课程</w:t>
      </w:r>
      <w:r>
        <w:rPr>
          <w:rFonts w:hint="eastAsia" w:ascii="微软雅黑" w:hAnsi="微软雅黑" w:eastAsia="微软雅黑" w:cs="微软雅黑"/>
          <w:color w:val="404040"/>
          <w:szCs w:val="21"/>
        </w:rPr>
        <w:t>)</w:t>
      </w:r>
    </w:p>
    <w:p>
      <w:pPr>
        <w:numPr>
          <w:ilvl w:val="0"/>
          <w:numId w:val="10"/>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《标杆房企地下建筑沉降加固零渗漏节点构造分析及实战案例》(</w:t>
      </w:r>
      <w:r>
        <w:rPr>
          <w:rFonts w:hint="eastAsia" w:ascii="微软雅黑" w:hAnsi="微软雅黑" w:eastAsia="微软雅黑" w:cs="微软雅黑"/>
          <w:b/>
          <w:color w:val="404040"/>
          <w:szCs w:val="21"/>
        </w:rPr>
        <w:t>多家央企工程管理提升课程</w:t>
      </w:r>
      <w:r>
        <w:rPr>
          <w:rFonts w:hint="eastAsia" w:ascii="微软雅黑" w:hAnsi="微软雅黑" w:eastAsia="微软雅黑" w:cs="微软雅黑"/>
          <w:color w:val="404040"/>
          <w:szCs w:val="21"/>
        </w:rPr>
        <w:t>)</w:t>
      </w:r>
    </w:p>
    <w:p>
      <w:pPr>
        <w:numPr>
          <w:ilvl w:val="0"/>
          <w:numId w:val="11"/>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零渗漏体系的首倡者；房地产总工之家/技术联盟零渗漏专业工作委员会主任，建筑工业出版社出版建筑防水防渗漏标准化设计和施工图集，帮助数十家企业完成零渗漏体系培训和构建，实现每项目防渗漏过程成本优化数千万，防渗漏运维成本降低亿元的绩效；</w:t>
      </w:r>
    </w:p>
    <w:p>
      <w:pPr>
        <w:numPr>
          <w:ilvl w:val="0"/>
          <w:numId w:val="10"/>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《标杆房企工程管理之铝模体系的管理要点及实战案例》</w:t>
      </w:r>
      <w:r>
        <w:rPr>
          <w:rFonts w:hint="eastAsia" w:ascii="微软雅黑" w:hAnsi="微软雅黑" w:eastAsia="微软雅黑" w:cs="微软雅黑"/>
          <w:b/>
          <w:color w:val="404040"/>
          <w:szCs w:val="21"/>
        </w:rPr>
        <w:t>（多家地产铝模管理提升课程）</w:t>
      </w:r>
    </w:p>
    <w:p>
      <w:pPr>
        <w:numPr>
          <w:ilvl w:val="0"/>
          <w:numId w:val="10"/>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《标杆房企工程管理之PC体系的管理要点及实战案例》</w:t>
      </w:r>
      <w:r>
        <w:rPr>
          <w:rFonts w:hint="eastAsia" w:ascii="微软雅黑" w:hAnsi="微软雅黑" w:eastAsia="微软雅黑" w:cs="微软雅黑"/>
          <w:b/>
          <w:color w:val="404040"/>
          <w:szCs w:val="21"/>
        </w:rPr>
        <w:t>（多家地产PC管理提升课程）</w:t>
      </w:r>
    </w:p>
    <w:p>
      <w:pPr>
        <w:numPr>
          <w:ilvl w:val="0"/>
          <w:numId w:val="10"/>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《标杆房企工程管理之门窗体系的管理要点及实战案例》</w:t>
      </w:r>
      <w:r>
        <w:rPr>
          <w:rFonts w:hint="eastAsia" w:ascii="微软雅黑" w:hAnsi="微软雅黑" w:eastAsia="微软雅黑" w:cs="微软雅黑"/>
          <w:b/>
          <w:color w:val="404040"/>
          <w:szCs w:val="21"/>
        </w:rPr>
        <w:t>（华润门窗产品质量提升课程）</w:t>
      </w:r>
    </w:p>
    <w:p>
      <w:pPr>
        <w:numPr>
          <w:ilvl w:val="0"/>
          <w:numId w:val="10"/>
        </w:numPr>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《标杆房企工程管理之幕墙体系的管理要点及实战案例》（</w:t>
      </w:r>
      <w:r>
        <w:rPr>
          <w:rFonts w:hint="eastAsia" w:ascii="微软雅黑" w:hAnsi="微软雅黑" w:eastAsia="微软雅黑" w:cs="微软雅黑"/>
          <w:b/>
          <w:color w:val="404040"/>
          <w:szCs w:val="21"/>
        </w:rPr>
        <w:t>多家地产</w:t>
      </w:r>
      <w:r>
        <w:rPr>
          <w:rFonts w:hint="eastAsia" w:ascii="微软雅黑" w:hAnsi="微软雅黑" w:eastAsia="微软雅黑" w:cs="微软雅黑"/>
          <w:b/>
          <w:bCs/>
          <w:color w:val="404040"/>
          <w:szCs w:val="21"/>
        </w:rPr>
        <w:t>幕墙体系管</w:t>
      </w:r>
      <w:r>
        <w:rPr>
          <w:rFonts w:hint="eastAsia" w:ascii="微软雅黑" w:hAnsi="微软雅黑" w:eastAsia="微软雅黑" w:cs="微软雅黑"/>
          <w:b/>
          <w:color w:val="404040"/>
          <w:szCs w:val="21"/>
        </w:rPr>
        <w:t>理提升课程</w:t>
      </w:r>
      <w:r>
        <w:rPr>
          <w:rFonts w:hint="eastAsia" w:ascii="微软雅黑" w:hAnsi="微软雅黑" w:eastAsia="微软雅黑" w:cs="微软雅黑"/>
          <w:color w:val="404040"/>
          <w:szCs w:val="21"/>
        </w:rPr>
        <w:t>）</w:t>
      </w:r>
    </w:p>
    <w:p>
      <w:pPr>
        <w:numPr>
          <w:ilvl w:val="0"/>
          <w:numId w:val="11"/>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中国门窗幕墙标准化工作委员会专家委员，中国金属结构协会钢木门窗委员会专家委员，中国金属结构协会塑料门窗委员会副主任委员，中国建筑玻璃与工业玻璃协会专家委员；</w:t>
      </w:r>
    </w:p>
    <w:p>
      <w:pPr>
        <w:numPr>
          <w:ilvl w:val="0"/>
          <w:numId w:val="12"/>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《标杆房企工程管理之批量精装修管理要点和实战案例》</w:t>
      </w:r>
      <w:r>
        <w:rPr>
          <w:rFonts w:hint="eastAsia" w:ascii="微软雅黑" w:hAnsi="微软雅黑" w:eastAsia="微软雅黑" w:cs="微软雅黑"/>
          <w:b/>
          <w:color w:val="404040"/>
          <w:szCs w:val="21"/>
        </w:rPr>
        <w:t>（多家地产精装修管理提升课程）</w:t>
      </w:r>
    </w:p>
    <w:p>
      <w:pPr>
        <w:numPr>
          <w:ilvl w:val="0"/>
          <w:numId w:val="13"/>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全联房地产商会全装修产业分会首席专家，组织评选科技部精瑞奖评委；</w:t>
      </w:r>
    </w:p>
    <w:p>
      <w:pPr>
        <w:numPr>
          <w:ilvl w:val="0"/>
          <w:numId w:val="14"/>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《标杆房企绿色建筑、健康建筑与近零能耗建筑管理要点及实战案例》</w:t>
      </w:r>
      <w:r>
        <w:rPr>
          <w:rFonts w:hint="eastAsia" w:ascii="微软雅黑" w:hAnsi="微软雅黑" w:eastAsia="微软雅黑" w:cs="微软雅黑"/>
          <w:b/>
          <w:color w:val="404040"/>
          <w:szCs w:val="21"/>
        </w:rPr>
        <w:t>（多家央企绿建管理提升课程）</w:t>
      </w:r>
    </w:p>
    <w:p>
      <w:pPr>
        <w:numPr>
          <w:ilvl w:val="0"/>
          <w:numId w:val="11"/>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中国绿色建筑委员会委员，作为当代首席工程师组织当代获得50多项项目绿建星级评定，获得LEED铂金，健康宅等多项科技绿色住宅奖项；</w:t>
      </w:r>
    </w:p>
    <w:p>
      <w:pPr>
        <w:numPr>
          <w:ilvl w:val="0"/>
          <w:numId w:val="14"/>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《标杆房企新技术新工艺新材料及技术管理创新要点及实战案例》</w:t>
      </w:r>
      <w:r>
        <w:rPr>
          <w:rFonts w:hint="eastAsia" w:ascii="微软雅黑" w:hAnsi="微软雅黑" w:eastAsia="微软雅黑" w:cs="微软雅黑"/>
          <w:b/>
          <w:color w:val="404040"/>
          <w:szCs w:val="21"/>
        </w:rPr>
        <w:t>（多家央企工程新技术新工艺新材料管理提升课程）</w:t>
      </w:r>
    </w:p>
    <w:p>
      <w:pPr>
        <w:numPr>
          <w:ilvl w:val="0"/>
          <w:numId w:val="14"/>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《疫情时代的房企工程管理产品品质提升助力项目营销》（</w:t>
      </w:r>
      <w:r>
        <w:rPr>
          <w:rFonts w:hint="eastAsia" w:ascii="微软雅黑" w:hAnsi="微软雅黑" w:eastAsia="微软雅黑" w:cs="微软雅黑"/>
          <w:b/>
          <w:color w:val="404040"/>
          <w:szCs w:val="21"/>
        </w:rPr>
        <w:t>多家央企产品防疫品质管理提升课程</w:t>
      </w:r>
      <w:r>
        <w:rPr>
          <w:rFonts w:hint="eastAsia" w:ascii="微软雅黑" w:hAnsi="微软雅黑" w:eastAsia="微软雅黑" w:cs="微软雅黑"/>
          <w:color w:val="404040"/>
          <w:szCs w:val="21"/>
        </w:rPr>
        <w:t>）</w:t>
      </w:r>
    </w:p>
    <w:p>
      <w:pPr>
        <w:numPr>
          <w:ilvl w:val="0"/>
          <w:numId w:val="10"/>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《工程管理专业之钢结构体系管理要点及实战案例》</w:t>
      </w:r>
      <w:r>
        <w:rPr>
          <w:rFonts w:hint="eastAsia" w:ascii="微软雅黑" w:hAnsi="微软雅黑" w:eastAsia="微软雅黑" w:cs="微软雅黑"/>
          <w:b/>
          <w:bCs/>
          <w:color w:val="404040"/>
          <w:szCs w:val="21"/>
        </w:rPr>
        <w:t>（全国首门地产住宅钢结构体系培训课程）</w:t>
      </w:r>
    </w:p>
    <w:p>
      <w:pPr>
        <w:numPr>
          <w:ilvl w:val="0"/>
          <w:numId w:val="10"/>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w:t>
      </w:r>
      <w:bookmarkStart w:id="4" w:name="_Hlk118436183"/>
      <w:r>
        <w:rPr>
          <w:rFonts w:hint="eastAsia" w:ascii="微软雅黑" w:hAnsi="微软雅黑" w:eastAsia="微软雅黑" w:cs="微软雅黑"/>
          <w:color w:val="404040"/>
          <w:szCs w:val="21"/>
        </w:rPr>
        <w:t>安全管理</w:t>
      </w:r>
      <w:bookmarkEnd w:id="4"/>
      <w:r>
        <w:rPr>
          <w:rFonts w:hint="eastAsia" w:ascii="微软雅黑" w:hAnsi="微软雅黑" w:eastAsia="微软雅黑" w:cs="微软雅黑"/>
          <w:color w:val="404040"/>
          <w:szCs w:val="21"/>
        </w:rPr>
        <w:t>的管控要点及实战案例》（</w:t>
      </w:r>
      <w:r>
        <w:rPr>
          <w:rFonts w:hint="eastAsia" w:ascii="微软雅黑" w:hAnsi="微软雅黑" w:eastAsia="微软雅黑" w:cs="微软雅黑"/>
          <w:b/>
          <w:bCs/>
          <w:color w:val="404040"/>
          <w:szCs w:val="21"/>
        </w:rPr>
        <w:t>多家地产安全防护管理提升课程</w:t>
      </w:r>
      <w:r>
        <w:rPr>
          <w:rFonts w:hint="eastAsia" w:ascii="微软雅黑" w:hAnsi="微软雅黑" w:eastAsia="微软雅黑" w:cs="微软雅黑"/>
          <w:color w:val="404040"/>
          <w:szCs w:val="21"/>
        </w:rPr>
        <w:t>）</w:t>
      </w:r>
    </w:p>
    <w:p>
      <w:pPr>
        <w:spacing w:line="360" w:lineRule="auto"/>
        <w:rPr>
          <w:rFonts w:hint="eastAsia" w:ascii="微软雅黑" w:hAnsi="微软雅黑" w:eastAsia="微软雅黑" w:cs="微软雅黑"/>
          <w:b/>
          <w:color w:val="404040"/>
          <w:szCs w:val="21"/>
          <w:u w:val="single"/>
        </w:rPr>
      </w:pPr>
      <w:bookmarkStart w:id="5" w:name="_Hlk118342151"/>
      <w:r>
        <w:rPr>
          <w:rFonts w:hint="eastAsia" w:ascii="微软雅黑" w:hAnsi="微软雅黑" w:eastAsia="微软雅黑" w:cs="微软雅黑"/>
          <w:b/>
          <w:color w:val="404040"/>
          <w:szCs w:val="21"/>
          <w:u w:val="single"/>
        </w:rPr>
        <w:t>维度四：计划管理类课程（</w:t>
      </w:r>
      <w:r>
        <w:rPr>
          <w:rFonts w:ascii="微软雅黑" w:hAnsi="微软雅黑" w:eastAsia="微软雅黑" w:cs="微软雅黑"/>
          <w:b/>
          <w:color w:val="404040"/>
          <w:szCs w:val="21"/>
          <w:u w:val="single"/>
        </w:rPr>
        <w:t>2</w:t>
      </w:r>
      <w:r>
        <w:rPr>
          <w:rFonts w:hint="eastAsia" w:ascii="微软雅黑" w:hAnsi="微软雅黑" w:eastAsia="微软雅黑" w:cs="微软雅黑"/>
          <w:b/>
          <w:color w:val="404040"/>
          <w:szCs w:val="21"/>
          <w:u w:val="single"/>
        </w:rPr>
        <w:t>门课）</w:t>
      </w:r>
    </w:p>
    <w:bookmarkEnd w:id="5"/>
    <w:p>
      <w:pPr>
        <w:numPr>
          <w:ilvl w:val="0"/>
          <w:numId w:val="14"/>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w:t>
      </w:r>
      <w:bookmarkStart w:id="6" w:name="_Hlk118437736"/>
      <w:r>
        <w:rPr>
          <w:rFonts w:hint="eastAsia" w:ascii="微软雅黑" w:hAnsi="微软雅黑" w:eastAsia="微软雅黑" w:cs="微软雅黑"/>
          <w:color w:val="404040"/>
          <w:szCs w:val="21"/>
        </w:rPr>
        <w:t>保交付</w:t>
      </w:r>
      <w:bookmarkEnd w:id="6"/>
      <w:r>
        <w:rPr>
          <w:rFonts w:hint="eastAsia" w:ascii="微软雅黑" w:hAnsi="微软雅黑" w:eastAsia="微软雅黑" w:cs="微软雅黑"/>
          <w:color w:val="404040"/>
          <w:szCs w:val="21"/>
        </w:rPr>
        <w:t>保质量下的工</w:t>
      </w:r>
      <w:bookmarkStart w:id="7" w:name="_Hlk118437723"/>
      <w:r>
        <w:rPr>
          <w:rFonts w:hint="eastAsia" w:ascii="微软雅黑" w:hAnsi="微软雅黑" w:eastAsia="微软雅黑" w:cs="微软雅黑"/>
          <w:color w:val="404040"/>
          <w:szCs w:val="21"/>
        </w:rPr>
        <w:t>程穿插提效快速施工</w:t>
      </w:r>
      <w:bookmarkEnd w:id="7"/>
      <w:r>
        <w:rPr>
          <w:rFonts w:hint="eastAsia" w:ascii="微软雅黑" w:hAnsi="微软雅黑" w:eastAsia="微软雅黑" w:cs="微软雅黑"/>
          <w:color w:val="404040"/>
          <w:szCs w:val="21"/>
        </w:rPr>
        <w:t>管理要点及实战案例》</w:t>
      </w:r>
      <w:r>
        <w:rPr>
          <w:rFonts w:hint="eastAsia" w:ascii="微软雅黑" w:hAnsi="微软雅黑" w:eastAsia="微软雅黑" w:cs="微软雅黑"/>
          <w:b/>
          <w:color w:val="404040"/>
          <w:szCs w:val="21"/>
        </w:rPr>
        <w:t>（多家央企保交付工程穿插提效快速施工管理提升课程）</w:t>
      </w:r>
    </w:p>
    <w:p>
      <w:pPr>
        <w:numPr>
          <w:ilvl w:val="0"/>
          <w:numId w:val="14"/>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《工业地产项目管理之穿插施工管理要点及实战案例》</w:t>
      </w:r>
      <w:r>
        <w:rPr>
          <w:rFonts w:hint="eastAsia" w:ascii="微软雅黑" w:hAnsi="微软雅黑" w:eastAsia="微软雅黑" w:cs="微软雅黑"/>
          <w:b/>
          <w:color w:val="404040"/>
          <w:szCs w:val="21"/>
        </w:rPr>
        <w:t>（多家央企工业地产项目穿插施工管理提升课程）</w:t>
      </w: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维度五：施工管理类课程（</w:t>
      </w:r>
      <w:r>
        <w:rPr>
          <w:rFonts w:ascii="微软雅黑" w:hAnsi="微软雅黑" w:eastAsia="微软雅黑" w:cs="微软雅黑"/>
          <w:b/>
          <w:color w:val="404040"/>
          <w:szCs w:val="21"/>
          <w:u w:val="single"/>
        </w:rPr>
        <w:t>7</w:t>
      </w:r>
      <w:r>
        <w:rPr>
          <w:rFonts w:hint="eastAsia" w:ascii="微软雅黑" w:hAnsi="微软雅黑" w:eastAsia="微软雅黑" w:cs="微软雅黑"/>
          <w:b/>
          <w:color w:val="404040"/>
          <w:szCs w:val="21"/>
          <w:u w:val="single"/>
        </w:rPr>
        <w:t>门课）</w:t>
      </w:r>
    </w:p>
    <w:p>
      <w:pPr>
        <w:numPr>
          <w:ilvl w:val="0"/>
          <w:numId w:val="14"/>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w:t>
      </w:r>
      <w:bookmarkStart w:id="8" w:name="_Hlk118438008"/>
      <w:r>
        <w:rPr>
          <w:rFonts w:hint="eastAsia" w:ascii="微软雅黑" w:hAnsi="微软雅黑" w:eastAsia="微软雅黑" w:cs="微软雅黑"/>
          <w:color w:val="404040"/>
          <w:szCs w:val="21"/>
        </w:rPr>
        <w:t>地基基础施工工艺</w:t>
      </w:r>
      <w:bookmarkEnd w:id="8"/>
      <w:r>
        <w:rPr>
          <w:rFonts w:hint="eastAsia" w:ascii="微软雅黑" w:hAnsi="微软雅黑" w:eastAsia="微软雅黑" w:cs="微软雅黑"/>
          <w:color w:val="404040"/>
          <w:szCs w:val="21"/>
        </w:rPr>
        <w:t>管控要点及实战案例》</w:t>
      </w:r>
      <w:r>
        <w:rPr>
          <w:rFonts w:hint="eastAsia" w:ascii="微软雅黑" w:hAnsi="微软雅黑" w:eastAsia="微软雅黑" w:cs="微软雅黑"/>
          <w:b/>
          <w:color w:val="404040"/>
          <w:szCs w:val="21"/>
        </w:rPr>
        <w:t>（岩土工程专业地基基础施工工艺管理提升课程）</w:t>
      </w:r>
    </w:p>
    <w:p>
      <w:pPr>
        <w:numPr>
          <w:ilvl w:val="0"/>
          <w:numId w:val="15"/>
        </w:numPr>
        <w:adjustRightInd w:val="0"/>
        <w:snapToGrid w:val="0"/>
        <w:spacing w:line="360" w:lineRule="auto"/>
        <w:ind w:left="284" w:hanging="284"/>
        <w:rPr>
          <w:rFonts w:hint="eastAsia" w:ascii="微软雅黑" w:hAnsi="微软雅黑" w:eastAsia="微软雅黑" w:cs="微软雅黑"/>
          <w:b/>
          <w:color w:val="404040"/>
          <w:szCs w:val="21"/>
          <w:highlight w:val="yellow"/>
        </w:rPr>
      </w:pPr>
      <w:r>
        <w:rPr>
          <w:rFonts w:hint="eastAsia" w:ascii="微软雅黑" w:hAnsi="微软雅黑" w:eastAsia="微软雅黑" w:cs="微软雅黑"/>
          <w:color w:val="404040"/>
          <w:szCs w:val="21"/>
          <w:highlight w:val="yellow"/>
        </w:rPr>
        <w:t>《地下工程盾构施工工艺管控要点及实战案例》</w:t>
      </w:r>
      <w:r>
        <w:rPr>
          <w:rFonts w:hint="eastAsia" w:ascii="微软雅黑" w:hAnsi="微软雅黑" w:eastAsia="微软雅黑" w:cs="微软雅黑"/>
          <w:b/>
          <w:color w:val="404040"/>
          <w:szCs w:val="21"/>
          <w:highlight w:val="yellow"/>
        </w:rPr>
        <w:t>（岩土工程专业路桥隧道专业施工工艺管理提升课程）</w:t>
      </w:r>
    </w:p>
    <w:p>
      <w:pPr>
        <w:numPr>
          <w:ilvl w:val="0"/>
          <w:numId w:val="14"/>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主体结构施工工艺管控要点及实战案例》</w:t>
      </w:r>
      <w:r>
        <w:rPr>
          <w:rFonts w:hint="eastAsia" w:ascii="微软雅黑" w:hAnsi="微软雅黑" w:eastAsia="微软雅黑" w:cs="微软雅黑"/>
          <w:b/>
          <w:color w:val="404040"/>
          <w:szCs w:val="21"/>
        </w:rPr>
        <w:t>（土建工程专业主体结构施工工艺管理提升课程）</w:t>
      </w:r>
    </w:p>
    <w:p>
      <w:pPr>
        <w:numPr>
          <w:ilvl w:val="0"/>
          <w:numId w:val="14"/>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bookmarkStart w:id="9" w:name="_Hlk118438098"/>
      <w:r>
        <w:rPr>
          <w:rFonts w:hint="eastAsia" w:ascii="微软雅黑" w:hAnsi="微软雅黑" w:eastAsia="微软雅黑" w:cs="微软雅黑"/>
          <w:color w:val="404040"/>
          <w:szCs w:val="21"/>
        </w:rPr>
        <w:t>装饰装修施工工艺</w:t>
      </w:r>
      <w:bookmarkEnd w:id="9"/>
      <w:r>
        <w:rPr>
          <w:rFonts w:hint="eastAsia" w:ascii="微软雅黑" w:hAnsi="微软雅黑" w:eastAsia="微软雅黑" w:cs="微软雅黑"/>
          <w:color w:val="404040"/>
          <w:szCs w:val="21"/>
        </w:rPr>
        <w:t>管控要点及实战案例</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（土建工程专业装饰装修施工工艺管理提升课程）</w:t>
      </w:r>
    </w:p>
    <w:p>
      <w:pPr>
        <w:numPr>
          <w:ilvl w:val="0"/>
          <w:numId w:val="14"/>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防水工程施工工艺管控要点及实战案例</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（土建工程专业防水工程施工工艺管理提升课程）</w:t>
      </w:r>
    </w:p>
    <w:p>
      <w:pPr>
        <w:numPr>
          <w:ilvl w:val="0"/>
          <w:numId w:val="14"/>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安全生产</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（多家总承包央企工程项目安全生产管理提升课程）</w:t>
      </w:r>
    </w:p>
    <w:p>
      <w:pPr>
        <w:numPr>
          <w:ilvl w:val="0"/>
          <w:numId w:val="14"/>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《工程</w:t>
      </w:r>
      <w:bookmarkStart w:id="10" w:name="_Hlk118438294"/>
      <w:r>
        <w:rPr>
          <w:rFonts w:hint="eastAsia" w:ascii="微软雅黑" w:hAnsi="微软雅黑" w:eastAsia="微软雅黑" w:cs="微软雅黑"/>
          <w:color w:val="404040"/>
          <w:szCs w:val="21"/>
        </w:rPr>
        <w:t>总承包</w:t>
      </w:r>
      <w:bookmarkEnd w:id="10"/>
      <w:r>
        <w:rPr>
          <w:rFonts w:hint="eastAsia" w:ascii="微软雅黑" w:hAnsi="微软雅黑" w:eastAsia="微软雅黑" w:cs="微软雅黑"/>
          <w:color w:val="404040"/>
          <w:szCs w:val="21"/>
        </w:rPr>
        <w:t>工程管理之道与项目管理的管控要点及实战案例》</w:t>
      </w:r>
      <w:r>
        <w:rPr>
          <w:rFonts w:hint="eastAsia" w:ascii="微软雅黑" w:hAnsi="微软雅黑" w:eastAsia="微软雅黑" w:cs="微软雅黑"/>
          <w:b/>
          <w:color w:val="404040"/>
          <w:szCs w:val="21"/>
        </w:rPr>
        <w:t>（多家总承包央企工程项目总承包管理提升课程）</w:t>
      </w:r>
    </w:p>
    <w:sectPr>
      <w:footerReference r:id="rId3" w:type="default"/>
      <w:pgSz w:w="16783" w:h="23757"/>
      <w:pgMar w:top="2410" w:right="2749" w:bottom="567" w:left="1985" w:header="851" w:footer="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Verdana">
    <w:panose1 w:val="020B0604030504040204"/>
    <w:charset w:val="00"/>
    <w:family w:val="swiss"/>
    <w:pitch w:val="default"/>
    <w:sig w:usb0="A0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left" w:pos="4855"/>
        <w:tab w:val="clear" w:pos="4153"/>
      </w:tabs>
      <w:rPr>
        <w:rFonts w:hint="eastAsia"/>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8A4399"/>
    <w:multiLevelType w:val="multilevel"/>
    <w:tmpl w:val="138A439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159B001E"/>
    <w:multiLevelType w:val="multilevel"/>
    <w:tmpl w:val="159B001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2AA52E93"/>
    <w:multiLevelType w:val="multilevel"/>
    <w:tmpl w:val="2AA52E93"/>
    <w:lvl w:ilvl="0" w:tentative="0">
      <w:start w:val="1"/>
      <w:numFmt w:val="japaneseCounting"/>
      <w:lvlText w:val="%1、"/>
      <w:lvlJc w:val="left"/>
      <w:pPr>
        <w:ind w:left="720" w:hanging="720"/>
      </w:pPr>
      <w:rPr>
        <w:rFonts w:hint="default"/>
      </w:rPr>
    </w:lvl>
    <w:lvl w:ilvl="1" w:tentative="0">
      <w:start w:val="1"/>
      <w:numFmt w:val="decimal"/>
      <w:lvlText w:val="%2."/>
      <w:lvlJc w:val="left"/>
      <w:pPr>
        <w:ind w:left="840" w:hanging="420"/>
      </w:pPr>
      <w:rPr>
        <w:rFonts w:hint="eastAsia"/>
      </w:rPr>
    </w:lvl>
    <w:lvl w:ilvl="2" w:tentative="0">
      <w:start w:val="1"/>
      <w:numFmt w:val="bullet"/>
      <w:lvlText w:val=""/>
      <w:lvlJc w:val="left"/>
      <w:pPr>
        <w:ind w:left="1260" w:hanging="420"/>
      </w:pPr>
      <w:rPr>
        <w:rFonts w:hint="default" w:ascii="Wingdings" w:hAnsi="Wingdings"/>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2ABA6408"/>
    <w:multiLevelType w:val="multilevel"/>
    <w:tmpl w:val="2ABA6408"/>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2E5D5100"/>
    <w:multiLevelType w:val="multilevel"/>
    <w:tmpl w:val="2E5D5100"/>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
    <w:nsid w:val="31DF0462"/>
    <w:multiLevelType w:val="multilevel"/>
    <w:tmpl w:val="31DF0462"/>
    <w:lvl w:ilvl="0" w:tentative="0">
      <w:start w:val="1"/>
      <w:numFmt w:val="japaneseCounting"/>
      <w:lvlText w:val="%1、"/>
      <w:lvlJc w:val="left"/>
      <w:pPr>
        <w:ind w:left="720" w:hanging="720"/>
      </w:pPr>
      <w:rPr>
        <w:rFonts w:hint="default"/>
      </w:rPr>
    </w:lvl>
    <w:lvl w:ilvl="1" w:tentative="0">
      <w:start w:val="1"/>
      <w:numFmt w:val="decimal"/>
      <w:lvlText w:val="%2."/>
      <w:lvlJc w:val="left"/>
      <w:pPr>
        <w:ind w:left="840" w:hanging="420"/>
      </w:pPr>
      <w:rPr>
        <w:rFonts w:hint="eastAsia"/>
      </w:rPr>
    </w:lvl>
    <w:lvl w:ilvl="2" w:tentative="0">
      <w:start w:val="1"/>
      <w:numFmt w:val="bullet"/>
      <w:lvlText w:val=""/>
      <w:lvlJc w:val="left"/>
      <w:pPr>
        <w:ind w:left="1260" w:hanging="420"/>
      </w:pPr>
      <w:rPr>
        <w:rFonts w:hint="default" w:ascii="Wingdings" w:hAnsi="Wingdings"/>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57214A07"/>
    <w:multiLevelType w:val="multilevel"/>
    <w:tmpl w:val="57214A07"/>
    <w:lvl w:ilvl="0" w:tentative="0">
      <w:start w:val="1"/>
      <w:numFmt w:val="japaneseCounting"/>
      <w:lvlText w:val="%1、"/>
      <w:lvlJc w:val="left"/>
      <w:pPr>
        <w:ind w:left="720" w:hanging="720"/>
      </w:pPr>
      <w:rPr>
        <w:rFonts w:hint="default"/>
      </w:rPr>
    </w:lvl>
    <w:lvl w:ilvl="1" w:tentative="0">
      <w:start w:val="1"/>
      <w:numFmt w:val="decimal"/>
      <w:lvlText w:val="%2."/>
      <w:lvlJc w:val="left"/>
      <w:pPr>
        <w:ind w:left="840" w:hanging="420"/>
      </w:pPr>
    </w:lvl>
    <w:lvl w:ilvl="2" w:tentative="0">
      <w:start w:val="1"/>
      <w:numFmt w:val="bullet"/>
      <w:lvlText w:val=""/>
      <w:lvlJc w:val="left"/>
      <w:pPr>
        <w:ind w:left="1260" w:hanging="420"/>
      </w:pPr>
      <w:rPr>
        <w:rFonts w:hint="default" w:ascii="Wingdings" w:hAnsi="Wingdings"/>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59CF2C12"/>
    <w:multiLevelType w:val="multilevel"/>
    <w:tmpl w:val="59CF2C12"/>
    <w:lvl w:ilvl="0" w:tentative="0">
      <w:start w:val="1"/>
      <w:numFmt w:val="decimal"/>
      <w:lvlText w:val="%1、"/>
      <w:lvlJc w:val="left"/>
      <w:pPr>
        <w:ind w:left="1200" w:hanging="7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8">
    <w:nsid w:val="5ACE535F"/>
    <w:multiLevelType w:val="multilevel"/>
    <w:tmpl w:val="5ACE535F"/>
    <w:lvl w:ilvl="0" w:tentative="0">
      <w:start w:val="1"/>
      <w:numFmt w:val="bullet"/>
      <w:lvlText w:val=""/>
      <w:lvlJc w:val="left"/>
      <w:pPr>
        <w:ind w:left="842" w:hanging="420"/>
      </w:pPr>
      <w:rPr>
        <w:rFonts w:hint="default" w:ascii="Wingdings" w:hAnsi="Wingdings"/>
      </w:rPr>
    </w:lvl>
    <w:lvl w:ilvl="1" w:tentative="0">
      <w:start w:val="1"/>
      <w:numFmt w:val="bullet"/>
      <w:lvlText w:val=""/>
      <w:lvlJc w:val="left"/>
      <w:pPr>
        <w:ind w:left="1262" w:hanging="420"/>
      </w:pPr>
      <w:rPr>
        <w:rFonts w:hint="default" w:ascii="Wingdings" w:hAnsi="Wingdings"/>
      </w:rPr>
    </w:lvl>
    <w:lvl w:ilvl="2" w:tentative="0">
      <w:start w:val="1"/>
      <w:numFmt w:val="bullet"/>
      <w:lvlText w:val=""/>
      <w:lvlJc w:val="left"/>
      <w:pPr>
        <w:ind w:left="1682" w:hanging="420"/>
      </w:pPr>
      <w:rPr>
        <w:rFonts w:hint="default" w:ascii="Wingdings" w:hAnsi="Wingdings"/>
      </w:rPr>
    </w:lvl>
    <w:lvl w:ilvl="3" w:tentative="0">
      <w:start w:val="1"/>
      <w:numFmt w:val="bullet"/>
      <w:lvlText w:val=""/>
      <w:lvlJc w:val="left"/>
      <w:pPr>
        <w:ind w:left="2102" w:hanging="420"/>
      </w:pPr>
      <w:rPr>
        <w:rFonts w:hint="default" w:ascii="Wingdings" w:hAnsi="Wingdings"/>
      </w:rPr>
    </w:lvl>
    <w:lvl w:ilvl="4" w:tentative="0">
      <w:start w:val="1"/>
      <w:numFmt w:val="bullet"/>
      <w:lvlText w:val=""/>
      <w:lvlJc w:val="left"/>
      <w:pPr>
        <w:ind w:left="2522" w:hanging="420"/>
      </w:pPr>
      <w:rPr>
        <w:rFonts w:hint="default" w:ascii="Wingdings" w:hAnsi="Wingdings"/>
      </w:rPr>
    </w:lvl>
    <w:lvl w:ilvl="5" w:tentative="0">
      <w:start w:val="1"/>
      <w:numFmt w:val="bullet"/>
      <w:lvlText w:val=""/>
      <w:lvlJc w:val="left"/>
      <w:pPr>
        <w:ind w:left="2942" w:hanging="420"/>
      </w:pPr>
      <w:rPr>
        <w:rFonts w:hint="default" w:ascii="Wingdings" w:hAnsi="Wingdings"/>
      </w:rPr>
    </w:lvl>
    <w:lvl w:ilvl="6" w:tentative="0">
      <w:start w:val="1"/>
      <w:numFmt w:val="bullet"/>
      <w:lvlText w:val=""/>
      <w:lvlJc w:val="left"/>
      <w:pPr>
        <w:ind w:left="3362" w:hanging="420"/>
      </w:pPr>
      <w:rPr>
        <w:rFonts w:hint="default" w:ascii="Wingdings" w:hAnsi="Wingdings"/>
      </w:rPr>
    </w:lvl>
    <w:lvl w:ilvl="7" w:tentative="0">
      <w:start w:val="1"/>
      <w:numFmt w:val="bullet"/>
      <w:lvlText w:val=""/>
      <w:lvlJc w:val="left"/>
      <w:pPr>
        <w:ind w:left="3782" w:hanging="420"/>
      </w:pPr>
      <w:rPr>
        <w:rFonts w:hint="default" w:ascii="Wingdings" w:hAnsi="Wingdings"/>
      </w:rPr>
    </w:lvl>
    <w:lvl w:ilvl="8" w:tentative="0">
      <w:start w:val="1"/>
      <w:numFmt w:val="bullet"/>
      <w:lvlText w:val=""/>
      <w:lvlJc w:val="left"/>
      <w:pPr>
        <w:ind w:left="4202" w:hanging="420"/>
      </w:pPr>
      <w:rPr>
        <w:rFonts w:hint="default" w:ascii="Wingdings" w:hAnsi="Wingdings"/>
      </w:rPr>
    </w:lvl>
  </w:abstractNum>
  <w:abstractNum w:abstractNumId="9">
    <w:nsid w:val="674C153E"/>
    <w:multiLevelType w:val="multilevel"/>
    <w:tmpl w:val="674C153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0">
    <w:nsid w:val="6B991B29"/>
    <w:multiLevelType w:val="multilevel"/>
    <w:tmpl w:val="6B991B2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1">
    <w:nsid w:val="71C97624"/>
    <w:multiLevelType w:val="multilevel"/>
    <w:tmpl w:val="71C97624"/>
    <w:lvl w:ilvl="0" w:tentative="0">
      <w:start w:val="1"/>
      <w:numFmt w:val="japaneseCounting"/>
      <w:lvlText w:val="%1、"/>
      <w:lvlJc w:val="left"/>
      <w:pPr>
        <w:ind w:left="720" w:hanging="720"/>
      </w:pPr>
      <w:rPr>
        <w:rFonts w:hint="default"/>
      </w:rPr>
    </w:lvl>
    <w:lvl w:ilvl="1" w:tentative="0">
      <w:start w:val="1"/>
      <w:numFmt w:val="decimal"/>
      <w:lvlText w:val="%2."/>
      <w:lvlJc w:val="left"/>
      <w:pPr>
        <w:ind w:left="840" w:hanging="420"/>
      </w:pPr>
      <w:rPr>
        <w:rFonts w:hint="eastAsia"/>
      </w:rPr>
    </w:lvl>
    <w:lvl w:ilvl="2" w:tentative="0">
      <w:start w:val="1"/>
      <w:numFmt w:val="bullet"/>
      <w:lvlText w:val=""/>
      <w:lvlJc w:val="left"/>
      <w:pPr>
        <w:ind w:left="1260" w:hanging="420"/>
      </w:pPr>
      <w:rPr>
        <w:rFonts w:hint="default" w:ascii="Wingdings" w:hAnsi="Wingdings"/>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7C2B5D99"/>
    <w:multiLevelType w:val="multilevel"/>
    <w:tmpl w:val="7C2B5D9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7"/>
  </w:num>
  <w:num w:numId="2">
    <w:abstractNumId w:val="2"/>
  </w:num>
  <w:num w:numId="3">
    <w:abstractNumId w:val="5"/>
  </w:num>
  <w:num w:numId="4">
    <w:abstractNumId w:val="6"/>
  </w:num>
  <w:num w:numId="5">
    <w:abstractNumId w:val="11"/>
  </w:num>
  <w:num w:numId="6">
    <w:abstractNumId w:val="3"/>
  </w:num>
  <w:num w:numId="7">
    <w:abstractNumId w:val="12"/>
  </w:num>
  <w:num w:numId="8">
    <w:abstractNumId w:val="0"/>
  </w:num>
  <w:num w:numId="9">
    <w:abstractNumId w:val="4"/>
  </w:num>
  <w:num w:numId="10">
    <w:abstractNumId w:val="10"/>
  </w:num>
  <w:num w:numId="11">
    <w:abstractNumId w:val="8"/>
  </w:num>
  <w:num w:numId="12">
    <w:abstractNumId w:val="1"/>
  </w:num>
  <w:num w:numId="13">
    <w:abstractNumId w:val="8"/>
  </w:num>
  <w:num w:numId="14">
    <w:abstractNumId w:val="1"/>
  </w:num>
  <w:num w:numId="1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5514"/>
    <w:rsid w:val="0000122C"/>
    <w:rsid w:val="00003AEB"/>
    <w:rsid w:val="00006AC8"/>
    <w:rsid w:val="00064028"/>
    <w:rsid w:val="00075514"/>
    <w:rsid w:val="0009275D"/>
    <w:rsid w:val="000940C9"/>
    <w:rsid w:val="000979CB"/>
    <w:rsid w:val="000B6C4B"/>
    <w:rsid w:val="000C6C71"/>
    <w:rsid w:val="000D195B"/>
    <w:rsid w:val="000D57DE"/>
    <w:rsid w:val="00100B88"/>
    <w:rsid w:val="0011547E"/>
    <w:rsid w:val="0013013A"/>
    <w:rsid w:val="0013535E"/>
    <w:rsid w:val="00140F17"/>
    <w:rsid w:val="001429C5"/>
    <w:rsid w:val="0015199E"/>
    <w:rsid w:val="00151DB4"/>
    <w:rsid w:val="001745C7"/>
    <w:rsid w:val="00185EEB"/>
    <w:rsid w:val="00191555"/>
    <w:rsid w:val="001B4864"/>
    <w:rsid w:val="001C391F"/>
    <w:rsid w:val="001E0A5E"/>
    <w:rsid w:val="001F3EF8"/>
    <w:rsid w:val="002170AA"/>
    <w:rsid w:val="00222A87"/>
    <w:rsid w:val="002434FF"/>
    <w:rsid w:val="00243F0A"/>
    <w:rsid w:val="00244CE4"/>
    <w:rsid w:val="00247570"/>
    <w:rsid w:val="002555A4"/>
    <w:rsid w:val="00263A6F"/>
    <w:rsid w:val="00277808"/>
    <w:rsid w:val="00286226"/>
    <w:rsid w:val="002877F6"/>
    <w:rsid w:val="00290A2A"/>
    <w:rsid w:val="00291C6C"/>
    <w:rsid w:val="002941B6"/>
    <w:rsid w:val="002C08EF"/>
    <w:rsid w:val="002C260B"/>
    <w:rsid w:val="002D6EF4"/>
    <w:rsid w:val="002F64A0"/>
    <w:rsid w:val="0031596C"/>
    <w:rsid w:val="0033554E"/>
    <w:rsid w:val="00350713"/>
    <w:rsid w:val="00351908"/>
    <w:rsid w:val="0036040F"/>
    <w:rsid w:val="00363BA6"/>
    <w:rsid w:val="003643ED"/>
    <w:rsid w:val="0036613B"/>
    <w:rsid w:val="00366363"/>
    <w:rsid w:val="00386F07"/>
    <w:rsid w:val="0038765F"/>
    <w:rsid w:val="00396363"/>
    <w:rsid w:val="003A7457"/>
    <w:rsid w:val="003D7AA8"/>
    <w:rsid w:val="003E619C"/>
    <w:rsid w:val="00404613"/>
    <w:rsid w:val="00407036"/>
    <w:rsid w:val="00423F1E"/>
    <w:rsid w:val="00425A3F"/>
    <w:rsid w:val="0043535F"/>
    <w:rsid w:val="00437062"/>
    <w:rsid w:val="00444F0F"/>
    <w:rsid w:val="00460105"/>
    <w:rsid w:val="00461C7A"/>
    <w:rsid w:val="0046307B"/>
    <w:rsid w:val="00471979"/>
    <w:rsid w:val="00475856"/>
    <w:rsid w:val="00486FFE"/>
    <w:rsid w:val="00492F72"/>
    <w:rsid w:val="004A11DA"/>
    <w:rsid w:val="004A1970"/>
    <w:rsid w:val="004A1C68"/>
    <w:rsid w:val="004B7E82"/>
    <w:rsid w:val="004C150C"/>
    <w:rsid w:val="004C2BA0"/>
    <w:rsid w:val="004D13F0"/>
    <w:rsid w:val="004D2379"/>
    <w:rsid w:val="004E1C26"/>
    <w:rsid w:val="004F6480"/>
    <w:rsid w:val="005100D5"/>
    <w:rsid w:val="0051455E"/>
    <w:rsid w:val="00517B4D"/>
    <w:rsid w:val="00520471"/>
    <w:rsid w:val="005213DA"/>
    <w:rsid w:val="00531E46"/>
    <w:rsid w:val="00553F13"/>
    <w:rsid w:val="00557712"/>
    <w:rsid w:val="005745F3"/>
    <w:rsid w:val="0058697F"/>
    <w:rsid w:val="005937F4"/>
    <w:rsid w:val="00596E95"/>
    <w:rsid w:val="005A0CDB"/>
    <w:rsid w:val="005D5708"/>
    <w:rsid w:val="00615193"/>
    <w:rsid w:val="00620066"/>
    <w:rsid w:val="00633212"/>
    <w:rsid w:val="006521A1"/>
    <w:rsid w:val="0066702D"/>
    <w:rsid w:val="0067469A"/>
    <w:rsid w:val="00687D03"/>
    <w:rsid w:val="006A6440"/>
    <w:rsid w:val="006B2F08"/>
    <w:rsid w:val="006D3DEF"/>
    <w:rsid w:val="006E0E13"/>
    <w:rsid w:val="006E3089"/>
    <w:rsid w:val="006F6BC3"/>
    <w:rsid w:val="006F7C70"/>
    <w:rsid w:val="00707C86"/>
    <w:rsid w:val="007323CF"/>
    <w:rsid w:val="007348CC"/>
    <w:rsid w:val="007348E3"/>
    <w:rsid w:val="00743015"/>
    <w:rsid w:val="007726F3"/>
    <w:rsid w:val="00785A8D"/>
    <w:rsid w:val="007B03E7"/>
    <w:rsid w:val="007C3FBD"/>
    <w:rsid w:val="007D67FE"/>
    <w:rsid w:val="007E27AF"/>
    <w:rsid w:val="007E5C21"/>
    <w:rsid w:val="007F4482"/>
    <w:rsid w:val="007F5B08"/>
    <w:rsid w:val="00802A72"/>
    <w:rsid w:val="0081773D"/>
    <w:rsid w:val="00821D88"/>
    <w:rsid w:val="008235F6"/>
    <w:rsid w:val="00857F09"/>
    <w:rsid w:val="00864CBE"/>
    <w:rsid w:val="00875D1D"/>
    <w:rsid w:val="00885472"/>
    <w:rsid w:val="008942DA"/>
    <w:rsid w:val="008952AF"/>
    <w:rsid w:val="008B03CF"/>
    <w:rsid w:val="008E43F0"/>
    <w:rsid w:val="008E78BC"/>
    <w:rsid w:val="009031C7"/>
    <w:rsid w:val="0093126F"/>
    <w:rsid w:val="009421E2"/>
    <w:rsid w:val="00954B52"/>
    <w:rsid w:val="0097034A"/>
    <w:rsid w:val="0098470E"/>
    <w:rsid w:val="009850BB"/>
    <w:rsid w:val="00993554"/>
    <w:rsid w:val="009A6653"/>
    <w:rsid w:val="009D62C8"/>
    <w:rsid w:val="009E45E9"/>
    <w:rsid w:val="009E7AED"/>
    <w:rsid w:val="009F0DAD"/>
    <w:rsid w:val="009F1F2C"/>
    <w:rsid w:val="009F5577"/>
    <w:rsid w:val="009F78FD"/>
    <w:rsid w:val="00A0328B"/>
    <w:rsid w:val="00A07440"/>
    <w:rsid w:val="00A10029"/>
    <w:rsid w:val="00A236B2"/>
    <w:rsid w:val="00A522F0"/>
    <w:rsid w:val="00A54B56"/>
    <w:rsid w:val="00A6583C"/>
    <w:rsid w:val="00A76C3F"/>
    <w:rsid w:val="00A8094D"/>
    <w:rsid w:val="00A80D66"/>
    <w:rsid w:val="00A86084"/>
    <w:rsid w:val="00A8706F"/>
    <w:rsid w:val="00AA6732"/>
    <w:rsid w:val="00AA7DEA"/>
    <w:rsid w:val="00AC5E27"/>
    <w:rsid w:val="00AF3A80"/>
    <w:rsid w:val="00B12C0D"/>
    <w:rsid w:val="00B23A11"/>
    <w:rsid w:val="00B24901"/>
    <w:rsid w:val="00B25C5D"/>
    <w:rsid w:val="00B26918"/>
    <w:rsid w:val="00B35FB4"/>
    <w:rsid w:val="00B41CD2"/>
    <w:rsid w:val="00B43C29"/>
    <w:rsid w:val="00B648A0"/>
    <w:rsid w:val="00B65FDE"/>
    <w:rsid w:val="00B71905"/>
    <w:rsid w:val="00B726A9"/>
    <w:rsid w:val="00B825E2"/>
    <w:rsid w:val="00BA370E"/>
    <w:rsid w:val="00BD67F0"/>
    <w:rsid w:val="00BD6A6C"/>
    <w:rsid w:val="00BE406B"/>
    <w:rsid w:val="00BF4D86"/>
    <w:rsid w:val="00BF7C13"/>
    <w:rsid w:val="00C00C29"/>
    <w:rsid w:val="00C064AA"/>
    <w:rsid w:val="00C23EFC"/>
    <w:rsid w:val="00C4273D"/>
    <w:rsid w:val="00C44ECE"/>
    <w:rsid w:val="00C5318E"/>
    <w:rsid w:val="00C62174"/>
    <w:rsid w:val="00C675A5"/>
    <w:rsid w:val="00C90DA5"/>
    <w:rsid w:val="00C92DE5"/>
    <w:rsid w:val="00CA2776"/>
    <w:rsid w:val="00CA3002"/>
    <w:rsid w:val="00CB4502"/>
    <w:rsid w:val="00CE02E5"/>
    <w:rsid w:val="00CE2DC1"/>
    <w:rsid w:val="00CF24E5"/>
    <w:rsid w:val="00D05669"/>
    <w:rsid w:val="00D225D1"/>
    <w:rsid w:val="00D352D3"/>
    <w:rsid w:val="00D37612"/>
    <w:rsid w:val="00D5558A"/>
    <w:rsid w:val="00D80B19"/>
    <w:rsid w:val="00D91AE6"/>
    <w:rsid w:val="00D9536D"/>
    <w:rsid w:val="00DA56A6"/>
    <w:rsid w:val="00DC3C68"/>
    <w:rsid w:val="00DD1100"/>
    <w:rsid w:val="00DD306B"/>
    <w:rsid w:val="00DE3153"/>
    <w:rsid w:val="00DF631C"/>
    <w:rsid w:val="00E1533B"/>
    <w:rsid w:val="00E331C2"/>
    <w:rsid w:val="00E33B9D"/>
    <w:rsid w:val="00E44D73"/>
    <w:rsid w:val="00E50433"/>
    <w:rsid w:val="00E677AD"/>
    <w:rsid w:val="00E862E1"/>
    <w:rsid w:val="00E90178"/>
    <w:rsid w:val="00E943B1"/>
    <w:rsid w:val="00E94B94"/>
    <w:rsid w:val="00ED34B1"/>
    <w:rsid w:val="00EE02BD"/>
    <w:rsid w:val="00EF7C14"/>
    <w:rsid w:val="00F07422"/>
    <w:rsid w:val="00F13989"/>
    <w:rsid w:val="00F140EA"/>
    <w:rsid w:val="00F21560"/>
    <w:rsid w:val="00F2243D"/>
    <w:rsid w:val="00F25A99"/>
    <w:rsid w:val="00F327BC"/>
    <w:rsid w:val="00F33918"/>
    <w:rsid w:val="00F3594E"/>
    <w:rsid w:val="00F74391"/>
    <w:rsid w:val="00F91CFC"/>
    <w:rsid w:val="00F92274"/>
    <w:rsid w:val="00F934E6"/>
    <w:rsid w:val="00F965CC"/>
    <w:rsid w:val="00F97459"/>
    <w:rsid w:val="00FB1623"/>
    <w:rsid w:val="00FB5406"/>
    <w:rsid w:val="00FE2EF0"/>
    <w:rsid w:val="00FE71FA"/>
    <w:rsid w:val="00FF0C2C"/>
    <w:rsid w:val="00FF242A"/>
    <w:rsid w:val="062250B0"/>
    <w:rsid w:val="077310CE"/>
    <w:rsid w:val="08026160"/>
    <w:rsid w:val="0A9F13F9"/>
    <w:rsid w:val="0F0224E9"/>
    <w:rsid w:val="10174529"/>
    <w:rsid w:val="12134AFE"/>
    <w:rsid w:val="12C27CAC"/>
    <w:rsid w:val="13CA01C9"/>
    <w:rsid w:val="1B063336"/>
    <w:rsid w:val="1F7428E8"/>
    <w:rsid w:val="218D74D5"/>
    <w:rsid w:val="226A4962"/>
    <w:rsid w:val="247C3CC5"/>
    <w:rsid w:val="29850910"/>
    <w:rsid w:val="2A8E45C7"/>
    <w:rsid w:val="312C1A77"/>
    <w:rsid w:val="36BE0BA5"/>
    <w:rsid w:val="37D53C2B"/>
    <w:rsid w:val="3BFE2CDF"/>
    <w:rsid w:val="438027F3"/>
    <w:rsid w:val="47763262"/>
    <w:rsid w:val="48D26A70"/>
    <w:rsid w:val="4CDE3442"/>
    <w:rsid w:val="56D05C63"/>
    <w:rsid w:val="57D81586"/>
    <w:rsid w:val="5E285F3B"/>
    <w:rsid w:val="69D71D92"/>
    <w:rsid w:val="6D1D77D3"/>
    <w:rsid w:val="721457E7"/>
    <w:rsid w:val="73302699"/>
    <w:rsid w:val="78AD7C09"/>
    <w:rsid w:val="7EEE08E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7">
    <w:name w:val="Default Paragraph Font"/>
    <w:semiHidden/>
    <w:uiPriority w:val="0"/>
  </w:style>
  <w:style w:type="table" w:default="1" w:styleId="5">
    <w:name w:val="Normal Table"/>
    <w:semiHidden/>
    <w:uiPriority w:val="0"/>
    <w:tblPr>
      <w:tblStyle w:val="5"/>
      <w:tblCellMar>
        <w:top w:w="0" w:type="dxa"/>
        <w:left w:w="108" w:type="dxa"/>
        <w:bottom w:w="0" w:type="dxa"/>
        <w:right w:w="108" w:type="dxa"/>
      </w:tblCellMar>
    </w:tblPr>
  </w:style>
  <w:style w:type="paragraph" w:styleId="3">
    <w:name w:val="footer"/>
    <w:basedOn w:val="1"/>
    <w:link w:val="10"/>
    <w:uiPriority w:val="0"/>
    <w:pPr>
      <w:tabs>
        <w:tab w:val="center" w:pos="4153"/>
        <w:tab w:val="right" w:pos="8306"/>
      </w:tabs>
      <w:snapToGrid w:val="0"/>
      <w:jc w:val="left"/>
    </w:pPr>
    <w:rPr>
      <w:sz w:val="18"/>
      <w:szCs w:val="18"/>
    </w:rPr>
  </w:style>
  <w:style w:type="paragraph" w:styleId="4">
    <w:name w:val="header"/>
    <w:basedOn w:val="1"/>
    <w:link w:val="9"/>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uiPriority w:val="0"/>
    <w:pPr>
      <w:widowControl w:val="0"/>
      <w:jc w:val="both"/>
    </w:pPr>
    <w:tblPr>
      <w:tblStyle w:val="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qFormat/>
    <w:uiPriority w:val="0"/>
    <w:rPr>
      <w:b/>
    </w:rPr>
  </w:style>
  <w:style w:type="character" w:customStyle="1" w:styleId="9">
    <w:name w:val="页眉 Char"/>
    <w:link w:val="4"/>
    <w:uiPriority w:val="0"/>
    <w:rPr>
      <w:kern w:val="2"/>
      <w:sz w:val="18"/>
      <w:szCs w:val="18"/>
    </w:rPr>
  </w:style>
  <w:style w:type="character" w:customStyle="1" w:styleId="10">
    <w:name w:val="页脚 Char"/>
    <w:link w:val="3"/>
    <w:uiPriority w:val="0"/>
    <w:rPr>
      <w:kern w:val="2"/>
      <w:sz w:val="18"/>
      <w:szCs w:val="18"/>
    </w:rPr>
  </w:style>
  <w:style w:type="paragraph" w:customStyle="1" w:styleId="11">
    <w:name w:val="样式1"/>
    <w:basedOn w:val="2"/>
    <w:qFormat/>
    <w:uiPriority w:val="0"/>
    <w:pPr>
      <w:spacing w:line="360" w:lineRule="auto"/>
      <w:jc w:val="center"/>
    </w:pPr>
    <w:rPr>
      <w:rFonts w:ascii="微软雅黑" w:hAnsi="微软雅黑" w:eastAsia="微软雅黑"/>
      <w:sz w:val="32"/>
      <w:szCs w:val="32"/>
    </w:rPr>
  </w:style>
  <w:style w:type="paragraph" w:styleId="12">
    <w:name w:val="List Paragraph"/>
    <w:basedOn w:val="1"/>
    <w:qFormat/>
    <w:uiPriority w:val="34"/>
    <w:pPr>
      <w:ind w:firstLine="420" w:firstLineChars="200"/>
    </w:pPr>
    <w:rPr>
      <w:rFonts w:ascii="等线" w:hAnsi="等线" w:eastAsia="等线"/>
      <w:szCs w:val="22"/>
    </w:rPr>
  </w:style>
  <w:style w:type="paragraph" w:customStyle="1" w:styleId="13">
    <w:name w:val="_Style 23"/>
    <w:basedOn w:val="1"/>
    <w:next w:val="12"/>
    <w:qFormat/>
    <w:uiPriority w:val="34"/>
    <w:pPr>
      <w:ind w:firstLine="420" w:firstLineChars="200"/>
    </w:pPr>
    <w:rPr>
      <w:rFonts w:ascii="等线" w:hAnsi="等线" w:eastAsia="等线"/>
      <w:szCs w:val="2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5</Pages>
  <Words>3401</Words>
  <Characters>3413</Characters>
  <Lines>25</Lines>
  <Paragraphs>7</Paragraphs>
  <TotalTime>0</TotalTime>
  <ScaleCrop>false</ScaleCrop>
  <LinksUpToDate>false</LinksUpToDate>
  <CharactersWithSpaces>3443</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2022-09-12T20:38:00Z</dcterms:created>
  <dc:creator>微软中国</dc:creator>
  <cp:lastModifiedBy>蓉儿</cp:lastModifiedBy>
  <dcterms:modified xsi:type="dcterms:W3CDTF">2023-01-04T08:24:59Z</dcterms:modified>
  <dc:title>在当前房地产行业中，设计管理一直是各地产公司管理的焦点和难点</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AFEE7A1B944041D6B1B67E2D0467E70F</vt:lpwstr>
  </property>
</Properties>
</file>