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工程总承包工程管理之道与项目管理的管控要点及实战案例</w:t>
      </w:r>
    </w:p>
    <w:p>
      <w:pPr>
        <w:spacing w:line="480" w:lineRule="exact"/>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建筑施工行业中，很多建筑施工工程管理人员不知道应如何当好总承包方，面对现场错误百出的工程图纸，严苛的成本控制，不听话的供应商，紧张的建造周期、频繁的变更、不停的整改、永远销不完的销项、持续不断的客户投诉，或者袖手旁观，或者越厨代庖；缺乏工程管理体系化管理经验，纯凭个人经验管项目，每次项目管理过程都像坐过山车前松后紧，开始的时候一脸懵圈不知所措，到了交付就手忙脚乱。一方面员工无法系统性学习提升工程管理能力，一方面企业项目管理不断出现重复性错误。如何帮助员工更好的掌握工程管理之道，提升管理视角，拓宽管理能力，并逐步转化角色胜任项目经理的岗位要求是我们面对的管理挑战；工程竣工交付的产品，应逐步的走向以客户为关注焦点的产品管理思路上来。客户对产品品质的要求，如何从设计前端把控入手，强调客户对材料部品的使用要求，让产品一开始就做对做好。产品品质管理需要涵盖产品定位、产品标准、产销平衡、产品采购、成本限额、供方选择、过程管理、产品验收、成品保护、直到产品交付和维保修的产品全生命周期过程品质管理。工程管理专业作为产品的最终制造和呈现者，如何做到站在项目管理的视角，避免产品质量、进度、成本的目标冲突，协同平衡工程总承包方和各专业承包方的标准不一致，是保证工程总承包项目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深刻理解并体会工程总承包项目管理之道，——目标定标准、协同建流程、能力要提高</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理解掌握项目策划的重要性和关键要素，以更好的实现产销平衡，实现产品力最大化；</w:t>
      </w:r>
    </w:p>
    <w:p>
      <w:pPr>
        <w:numPr>
          <w:ilvl w:val="0"/>
          <w:numId w:val="1"/>
        </w:numPr>
        <w:spacing w:line="480" w:lineRule="exact"/>
        <w:ind w:left="851" w:hanging="371"/>
        <w:rPr>
          <w:rFonts w:hint="eastAsia" w:ascii="微软雅黑" w:hAnsi="微软雅黑" w:eastAsia="微软雅黑" w:cs="微软雅黑"/>
          <w:sz w:val="24"/>
        </w:rPr>
      </w:pPr>
      <w:r>
        <w:rPr>
          <w:rFonts w:hint="eastAsia" w:ascii="微软雅黑" w:hAnsi="微软雅黑" w:eastAsia="微软雅黑" w:cs="微软雅黑"/>
          <w:sz w:val="24"/>
        </w:rPr>
        <w:t>理解掌握计划精细化管理的重要性和关键要素，针对项目实际情况及公司现有资源制定降本高效的全周期工程进度计划，以保证工程质量；</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理解掌握项目技术精益管理的重要性和关键要素，以更好地保证工程构造、标准和要求对质量改进的有效性；</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理解掌握项目工艺设备工具精益管理的要点，以更好的提高产品质量标准，降低人对成本投入，材料要求，产品质量的影响，实现降本增效；</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理解掌握项目成本精益管理的要点，把握成本管理的价值点，聚焦成本有效投放，固化合同内容审批流程和表单格式，做好质量和成本均衡下的产品价值最大化；</w:t>
      </w:r>
    </w:p>
    <w:p>
      <w:pPr>
        <w:numPr>
          <w:ilvl w:val="0"/>
          <w:numId w:val="1"/>
        </w:numPr>
        <w:spacing w:line="480" w:lineRule="exact"/>
        <w:ind w:left="851" w:hanging="371"/>
        <w:rPr>
          <w:rFonts w:ascii="微软雅黑" w:hAnsi="微软雅黑" w:eastAsia="微软雅黑" w:cs="微软雅黑"/>
          <w:sz w:val="24"/>
        </w:rPr>
      </w:pPr>
      <w:r>
        <w:rPr>
          <w:rFonts w:hint="eastAsia" w:ascii="微软雅黑" w:hAnsi="微软雅黑" w:eastAsia="微软雅黑" w:cs="微软雅黑"/>
          <w:sz w:val="24"/>
        </w:rPr>
        <w:t>深刻理解掌握有效的“谈判”和“沟通”的重要性和关键要素，以更好的保证每一次的“谈判”和“沟通”都更加精准“诛心”，得到组织、项目和外部资源的充分支持，立于“不败”之地；</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w:rPr>
          <w:lang/>
        </w:rPr>
        <mc:AlternateContent>
          <mc:Choice Requires="wpg">
            <w:drawing>
              <wp:anchor distT="0" distB="0" distL="114300" distR="114300" simplePos="0" relativeHeight="251659264" behindDoc="0" locked="0" layoutInCell="1" allowOverlap="1">
                <wp:simplePos x="0" y="0"/>
                <wp:positionH relativeFrom="column">
                  <wp:posOffset>2683510</wp:posOffset>
                </wp:positionH>
                <wp:positionV relativeFrom="paragraph">
                  <wp:posOffset>307975</wp:posOffset>
                </wp:positionV>
                <wp:extent cx="7026910" cy="3540125"/>
                <wp:effectExtent l="0" t="0" r="0" b="0"/>
                <wp:wrapNone/>
                <wp:docPr id="2" name="组合 1"/>
                <wp:cNvGraphicFramePr/>
                <a:graphic xmlns:a="http://schemas.openxmlformats.org/drawingml/2006/main">
                  <a:graphicData uri="http://schemas.microsoft.com/office/word/2010/wordprocessingGroup">
                    <wpg:wgp>
                      <wpg:cNvGrpSpPr/>
                      <wpg:grpSpPr>
                        <a:xfrm>
                          <a:off x="0" y="0"/>
                          <a:ext cx="7026915" cy="3540323"/>
                          <a:chOff x="0" y="0"/>
                          <a:chExt cx="7026682" cy="3600323"/>
                        </a:xfrm>
                        <a:effectLst/>
                      </wpg:grpSpPr>
                      <wpg:graphicFrame>
                        <wpg:cNvPr id="3"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4" name="矩形 4"/>
                        <wps:cNvSpPr>
                          <a:spLocks noChangeArrowheads="1"/>
                        </wps:cNvSpPr>
                        <wps:spPr bwMode="auto">
                          <a:xfrm>
                            <a:off x="527621" y="0"/>
                            <a:ext cx="1581098" cy="495945"/>
                          </a:xfrm>
                          <a:prstGeom prst="rect">
                            <a:avLst/>
                          </a:prstGeom>
                          <a:solidFill>
                            <a:srgbClr val="4472C4"/>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5" name="矩形 5"/>
                        <wps:cNvSpPr>
                          <a:spLocks noChangeArrowheads="1"/>
                        </wps:cNvSpPr>
                        <wps:spPr bwMode="auto">
                          <a:xfrm>
                            <a:off x="0" y="441018"/>
                            <a:ext cx="2636433" cy="791058"/>
                          </a:xfrm>
                          <a:prstGeom prst="rect">
                            <a:avLst/>
                          </a:prstGeom>
                          <a:noFill/>
                          <a:ln>
                            <a:noFill/>
                          </a:ln>
                          <a:effectLst/>
                        </wps:spPr>
                        <wps:txbx>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wps:txbx>
                        <wps:bodyPr wrap="square">
                          <a:spAutoFit/>
                        </wps:bodyPr>
                      </wps:wsp>
                      <wps:wsp>
                        <wps:cNvPr id="6" name="矩形 6"/>
                        <wps:cNvSpPr>
                          <a:spLocks noChangeArrowheads="1"/>
                        </wps:cNvSpPr>
                        <wps:spPr bwMode="auto">
                          <a:xfrm>
                            <a:off x="5034620" y="0"/>
                            <a:ext cx="1588717" cy="495945"/>
                          </a:xfrm>
                          <a:prstGeom prst="rect">
                            <a:avLst/>
                          </a:prstGeom>
                          <a:solidFill>
                            <a:srgbClr val="43BEB9"/>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7" name="矩形 7"/>
                        <wps:cNvSpPr>
                          <a:spLocks noChangeArrowheads="1"/>
                        </wps:cNvSpPr>
                        <wps:spPr bwMode="auto">
                          <a:xfrm>
                            <a:off x="4618037" y="410392"/>
                            <a:ext cx="2408475" cy="557938"/>
                          </a:xfrm>
                          <a:prstGeom prst="rect">
                            <a:avLst/>
                          </a:prstGeom>
                          <a:noFill/>
                          <a:ln>
                            <a:noFill/>
                          </a:ln>
                          <a:effectLst/>
                        </wps:spPr>
                        <wps:txbx>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a:spAutoFit/>
                        </wps:bodyPr>
                      </wps:wsp>
                      <wps:wsp>
                        <wps:cNvPr id="8" name="矩形 8"/>
                        <wps:cNvSpPr>
                          <a:spLocks noChangeArrowheads="1"/>
                        </wps:cNvSpPr>
                        <wps:spPr bwMode="auto">
                          <a:xfrm>
                            <a:off x="441613" y="2626145"/>
                            <a:ext cx="1694124" cy="495945"/>
                          </a:xfrm>
                          <a:prstGeom prst="rect">
                            <a:avLst/>
                          </a:prstGeom>
                          <a:solidFill>
                            <a:srgbClr val="70AD47"/>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9" name="矩形 9"/>
                        <wps:cNvSpPr>
                          <a:spLocks noChangeArrowheads="1"/>
                        </wps:cNvSpPr>
                        <wps:spPr bwMode="auto">
                          <a:xfrm>
                            <a:off x="124226" y="3025514"/>
                            <a:ext cx="2598969" cy="557938"/>
                          </a:xfrm>
                          <a:prstGeom prst="rect">
                            <a:avLst/>
                          </a:prstGeom>
                          <a:noFill/>
                          <a:ln>
                            <a:noFill/>
                          </a:ln>
                          <a:effectLst/>
                        </wps:spPr>
                        <wps:txbx>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a:spAutoFit/>
                        </wps:bodyPr>
                      </wps:wsp>
                      <wps:wsp>
                        <wps:cNvPr id="10" name="矩形 10"/>
                        <wps:cNvSpPr>
                          <a:spLocks noChangeArrowheads="1"/>
                        </wps:cNvSpPr>
                        <wps:spPr bwMode="auto">
                          <a:xfrm>
                            <a:off x="4974730" y="2625869"/>
                            <a:ext cx="1648405" cy="495945"/>
                          </a:xfrm>
                          <a:prstGeom prst="rect">
                            <a:avLst/>
                          </a:prstGeom>
                          <a:solidFill>
                            <a:srgbClr val="F8841D"/>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1" name="矩形 11"/>
                        <wps:cNvSpPr>
                          <a:spLocks noChangeArrowheads="1"/>
                        </wps:cNvSpPr>
                        <wps:spPr bwMode="auto">
                          <a:xfrm>
                            <a:off x="4655036" y="3042385"/>
                            <a:ext cx="2371646" cy="557938"/>
                          </a:xfrm>
                          <a:prstGeom prst="rect">
                            <a:avLst/>
                          </a:prstGeom>
                          <a:noFill/>
                          <a:ln>
                            <a:noFill/>
                          </a:ln>
                          <a:effectLst/>
                        </wps:spPr>
                        <wps:txbx>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a:spAutoFit/>
                        </wps:bodyPr>
                      </wps:wsp>
                    </wpg:wgp>
                  </a:graphicData>
                </a:graphic>
              </wp:anchor>
            </w:drawing>
          </mc:Choice>
          <mc:Fallback>
            <w:pict>
              <v:group id="组合 1" o:spid="_x0000_s1026" o:spt="203" style="position:absolute;left:0pt;margin-left:211.3pt;margin-top:24.25pt;height:278.75pt;width:553.3pt;z-index:251659264;mso-width-relative:page;mso-height-relative:page;" coordsize="7026682,3600323" o:gfxdata="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">
                <o:lock v:ext="edit" aspectratio="f"/>
                <v:shape id="_x0000_s1026" o:spid="_x0000_s1026" o:spt="75" type="#_x0000_t75" style="position:absolute;left:1149963;top:269520;height:3277498;width:4932086;"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imagedata r:id="rId10" o:title=""/>
                  <o:lock v:ext="edit"/>
                </v:shape>
                <v:rect id="_x0000_s1026" o:spid="_x0000_s1026" o:spt="1" style="position:absolute;left:527621;top:0;height:495945;width:1581098;"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_x0000_s1026" o:spid="_x0000_s1026" o:spt="1" style="position:absolute;left:0;top:441018;height:791058;width:263643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v:textbox>
                </v:rect>
                <v:rect id="_x0000_s1026" o:spid="_x0000_s1026" o:spt="1" style="position:absolute;left:5034620;top:0;height:495945;width:1588717;"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_x0000_s1026" o:spid="_x0000_s1026" o:spt="1" style="position:absolute;left:4618037;top:410392;height:557938;width:240847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_x0000_s1026" o:spid="_x0000_s1026" o:spt="1" style="position:absolute;left:441613;top:2626145;height:495945;width:1694124;"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_x0000_s1026" o:spid="_x0000_s1026" o:spt="1" style="position:absolute;left:124226;top:3025514;height:557938;width:25989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v:rect id="_x0000_s1026" o:spid="_x0000_s1026" o:spt="1" style="position:absolute;left:4974730;top:2625869;height:495945;width:1648405;"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_x0000_s1026" o:spid="_x0000_s1026" o:spt="1" style="position:absolute;left:4655036;top:3042385;height:557938;width:237164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napToGrid w:val="0"/>
                          <w:spacing w:before="0" w:beforeAutospacing="0" w:after="0" w:afterAutospacing="0" w:line="180"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建筑企业董事长、总经理、总工、总部分管工程副总、项目总经理、工程总监、工程部经理、成本总监、成本部经理、土建工程师、造价工程师等。</w:t>
      </w:r>
    </w:p>
    <w:p>
      <w:pPr>
        <w:spacing w:line="440" w:lineRule="exact"/>
        <w:rPr>
          <w:rFonts w:hint="eastAsia" w:ascii="微软雅黑" w:hAnsi="微软雅黑" w:eastAsia="微软雅黑"/>
          <w:b/>
          <w:color w:val="FFFFFF"/>
          <w:sz w:val="24"/>
        </w:rPr>
      </w:pPr>
      <w:r>
        <w:rPr>
          <w:rFonts w:ascii="微软雅黑" w:hAnsi="微软雅黑" w:eastAsia="微软雅黑" w:cs="微软雅黑"/>
          <w:b/>
          <w:color w:val="FF0000"/>
          <w:sz w:val="24"/>
        </w:rPr>
        <w:br w:type="page"/>
      </w: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第一部分：项目管理问题的现状和困惑及工程管理之道</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1415" w:leftChars="404" w:hanging="567" w:hangingChars="236"/>
        <w:rPr>
          <w:rFonts w:ascii="微软雅黑" w:hAnsi="微软雅黑" w:eastAsia="微软雅黑"/>
          <w:b/>
          <w:sz w:val="24"/>
          <w:szCs w:val="24"/>
        </w:rPr>
      </w:pPr>
      <w:r>
        <w:rPr>
          <w:rFonts w:hint="eastAsia" w:ascii="微软雅黑" w:hAnsi="微软雅黑" w:eastAsia="微软雅黑"/>
          <w:b/>
          <w:sz w:val="24"/>
          <w:szCs w:val="24"/>
        </w:rPr>
        <w:t>扩大劳务分包及小班组分包管理，采取何种分包模式才能更适合项目建设及公司利益诉求？每种模式的优缺点及适用范围如何界定、职责如何划分；不同分包模式的利润率指标如何设定？</w:t>
      </w:r>
    </w:p>
    <w:p>
      <w:pPr>
        <w:pStyle w:val="13"/>
        <w:numPr>
          <w:ilvl w:val="2"/>
          <w:numId w:val="3"/>
        </w:numPr>
        <w:ind w:left="1415" w:leftChars="404" w:hanging="567" w:hangingChars="236"/>
        <w:rPr>
          <w:rFonts w:ascii="微软雅黑" w:hAnsi="微软雅黑" w:eastAsia="微软雅黑"/>
          <w:b/>
          <w:sz w:val="24"/>
          <w:szCs w:val="24"/>
        </w:rPr>
      </w:pPr>
      <w:r>
        <w:rPr>
          <w:rFonts w:ascii="微软雅黑" w:hAnsi="微软雅黑" w:eastAsia="微软雅黑"/>
          <w:b/>
          <w:sz w:val="24"/>
          <w:szCs w:val="24"/>
        </w:rPr>
        <w:drawing>
          <wp:anchor distT="0" distB="0" distL="114300" distR="114300" simplePos="0" relativeHeight="251660288" behindDoc="0" locked="0" layoutInCell="1" allowOverlap="1">
            <wp:simplePos x="0" y="0"/>
            <wp:positionH relativeFrom="column">
              <wp:posOffset>6868160</wp:posOffset>
            </wp:positionH>
            <wp:positionV relativeFrom="paragraph">
              <wp:posOffset>215900</wp:posOffset>
            </wp:positionV>
            <wp:extent cx="2862580" cy="2536190"/>
            <wp:effectExtent l="0" t="0" r="0" b="8890"/>
            <wp:wrapSquare wrapText="bothSides"/>
            <wp:docPr id="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pic:cNvPicPr>
                      <a:picLocks noChangeAspect="1"/>
                    </pic:cNvPicPr>
                  </pic:nvPicPr>
                  <pic:blipFill>
                    <a:blip r:embed="rId11"/>
                    <a:stretch>
                      <a:fillRect/>
                    </a:stretch>
                  </pic:blipFill>
                  <pic:spPr>
                    <a:xfrm>
                      <a:off x="0" y="0"/>
                      <a:ext cx="2862580" cy="2536190"/>
                    </a:xfrm>
                    <a:prstGeom prst="rect">
                      <a:avLst/>
                    </a:prstGeom>
                    <a:noFill/>
                    <a:ln>
                      <a:noFill/>
                    </a:ln>
                  </pic:spPr>
                </pic:pic>
              </a:graphicData>
            </a:graphic>
          </wp:anchor>
        </w:drawing>
      </w:r>
      <w:r>
        <w:rPr>
          <w:rFonts w:hint="eastAsia" w:ascii="微软雅黑" w:hAnsi="微软雅黑" w:eastAsia="微软雅黑"/>
          <w:b/>
          <w:sz w:val="24"/>
          <w:szCs w:val="24"/>
        </w:rPr>
        <w:t>甲方不按节点付款或延迟付款；考虑到进度及成本因素，工程总承包项目建设不能轻易停滞，如何办；劳务班组出现停工、不配合现象，如何处理？</w:t>
      </w:r>
    </w:p>
    <w:p>
      <w:pPr>
        <w:pStyle w:val="13"/>
        <w:numPr>
          <w:ilvl w:val="2"/>
          <w:numId w:val="3"/>
        </w:numPr>
        <w:ind w:left="1415" w:leftChars="404" w:hanging="567" w:hangingChars="236"/>
        <w:rPr>
          <w:rFonts w:ascii="微软雅黑" w:hAnsi="微软雅黑" w:eastAsia="微软雅黑"/>
          <w:b/>
          <w:sz w:val="24"/>
          <w:szCs w:val="24"/>
        </w:rPr>
      </w:pPr>
      <w:r>
        <w:rPr>
          <w:rFonts w:hint="eastAsia" w:ascii="微软雅黑" w:hAnsi="微软雅黑" w:eastAsia="微软雅黑"/>
          <w:b/>
          <w:sz w:val="24"/>
          <w:szCs w:val="24"/>
        </w:rPr>
        <w:t>如何调动项目各职能部门共同参与成本全周期管控的积极性，如何与绩效考核挂钩？</w:t>
      </w:r>
    </w:p>
    <w:p>
      <w:pPr>
        <w:pStyle w:val="13"/>
        <w:numPr>
          <w:ilvl w:val="2"/>
          <w:numId w:val="3"/>
        </w:numPr>
        <w:ind w:left="1415" w:leftChars="404" w:hanging="567" w:hangingChars="236"/>
        <w:rPr>
          <w:rFonts w:ascii="微软雅黑" w:hAnsi="微软雅黑" w:eastAsia="微软雅黑"/>
          <w:b/>
          <w:sz w:val="24"/>
          <w:szCs w:val="24"/>
        </w:rPr>
      </w:pPr>
      <w:r>
        <w:rPr>
          <w:rFonts w:hint="eastAsia" w:ascii="微软雅黑" w:hAnsi="微软雅黑" w:eastAsia="微软雅黑"/>
          <w:b/>
          <w:sz w:val="24"/>
          <w:szCs w:val="24"/>
        </w:rPr>
        <w:t>工程总承包方如何有效沟通社会干系方，消除人为干扰因素？</w:t>
      </w:r>
    </w:p>
    <w:p>
      <w:pPr>
        <w:pStyle w:val="13"/>
        <w:numPr>
          <w:ilvl w:val="2"/>
          <w:numId w:val="3"/>
        </w:numPr>
        <w:ind w:left="1415" w:leftChars="404" w:hanging="567" w:hangingChars="236"/>
        <w:rPr>
          <w:rFonts w:ascii="微软雅黑" w:hAnsi="微软雅黑" w:eastAsia="微软雅黑"/>
          <w:b/>
          <w:sz w:val="24"/>
          <w:szCs w:val="24"/>
        </w:rPr>
      </w:pPr>
      <w:r>
        <w:rPr>
          <w:rFonts w:hint="eastAsia" w:ascii="微软雅黑" w:hAnsi="微软雅黑" w:eastAsia="微软雅黑"/>
          <w:b/>
          <w:sz w:val="24"/>
          <w:szCs w:val="24"/>
        </w:rPr>
        <w:t>工程总承包管理在项目实施过程中经常踩的 “坑” 有哪些？</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建立流程化的协同体系；总承包方管理原因导致的现场矛盾：专业间的矛盾/甲乙方间的矛盾；跨专业协同/目标标准协同；</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工程管理之道：目标定标准/协同建流程/能力要提高；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第二部分：工程策划管理</w:t>
      </w:r>
    </w:p>
    <w:p>
      <w:pPr>
        <w:pStyle w:val="13"/>
        <w:numPr>
          <w:ilvl w:val="0"/>
          <w:numId w:val="4"/>
        </w:numPr>
        <w:ind w:firstLineChars="0"/>
        <w:jc w:val="left"/>
        <w:rPr>
          <w:rFonts w:ascii="微软雅黑" w:hAnsi="微软雅黑" w:eastAsia="微软雅黑"/>
          <w:b/>
          <w:bCs/>
          <w:sz w:val="24"/>
        </w:rPr>
      </w:pPr>
      <w:r>
        <w:rPr>
          <w:lang/>
        </w:rPr>
        <w:drawing>
          <wp:anchor distT="0" distB="0" distL="114300" distR="114300" simplePos="0" relativeHeight="251661312" behindDoc="0" locked="0" layoutInCell="1" allowOverlap="1">
            <wp:simplePos x="0" y="0"/>
            <wp:positionH relativeFrom="column">
              <wp:posOffset>6973570</wp:posOffset>
            </wp:positionH>
            <wp:positionV relativeFrom="paragraph">
              <wp:posOffset>422275</wp:posOffset>
            </wp:positionV>
            <wp:extent cx="2647950" cy="2333625"/>
            <wp:effectExtent l="0" t="0" r="0" b="13335"/>
            <wp:wrapSquare wrapText="bothSides"/>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2"/>
                    <a:stretch>
                      <a:fillRect/>
                    </a:stretch>
                  </pic:blipFill>
                  <pic:spPr>
                    <a:xfrm>
                      <a:off x="0" y="0"/>
                      <a:ext cx="2647950" cy="2333625"/>
                    </a:xfrm>
                    <a:prstGeom prst="rect">
                      <a:avLst/>
                    </a:prstGeom>
                    <a:noFill/>
                    <a:ln>
                      <a:noFill/>
                    </a:ln>
                  </pic:spPr>
                </pic:pic>
              </a:graphicData>
            </a:graphic>
          </wp:anchor>
        </w:drawing>
      </w:r>
      <w:r>
        <w:rPr>
          <w:rFonts w:hint="eastAsia" w:ascii="微软雅黑" w:hAnsi="微软雅黑" w:eastAsia="微软雅黑"/>
          <w:b/>
          <w:sz w:val="24"/>
          <w:szCs w:val="24"/>
        </w:rPr>
        <w:t>项目和分期管理目标明确；</w:t>
      </w:r>
      <w:r>
        <w:rPr>
          <w:rFonts w:hint="eastAsia" w:ascii="微软雅黑" w:hAnsi="微软雅黑" w:eastAsia="微软雅黑"/>
          <w:b/>
          <w:bCs/>
          <w:sz w:val="24"/>
          <w:szCs w:val="24"/>
        </w:rPr>
        <w:t>项目和分期</w:t>
      </w:r>
      <w:r>
        <w:rPr>
          <w:rFonts w:hint="eastAsia" w:ascii="微软雅黑" w:hAnsi="微软雅黑" w:eastAsia="微软雅黑"/>
          <w:b/>
          <w:bCs/>
          <w:sz w:val="24"/>
        </w:rPr>
        <w:t>管理目标明确；工程管理目标：进度/质量/交付目标；</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案例：某项目的产品质量目标设定指标分解（</w:t>
      </w:r>
      <w:r>
        <w:rPr>
          <w:rFonts w:hint="eastAsia" w:ascii="微软雅黑" w:hAnsi="微软雅黑" w:eastAsia="微软雅黑"/>
          <w:b/>
          <w:color w:val="0070C0"/>
          <w:sz w:val="24"/>
          <w:szCs w:val="24"/>
        </w:rPr>
        <w:t>扩大劳务分包及小班组分包管理，采取何种分包模式才能更适合项目建设及公司利益诉求？每种模式的优缺点及适用范围如何界定、职责如何划分；不同分包模式的利润率指标如何设定？</w:t>
      </w:r>
      <w:r>
        <w:rPr>
          <w:rFonts w:hint="eastAsia" w:ascii="微软雅黑" w:hAnsi="微软雅黑" w:eastAsia="微软雅黑"/>
          <w:b/>
          <w:sz w:val="24"/>
          <w:szCs w:val="24"/>
        </w:rPr>
        <w:t>）；</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施工总平面布置管理；施工合理便捷/分期标段合理面积/合作方优先/开发面积1半/流水搭接/分期界面简洁/设备机具布置/临水临电道路分布/安全文明/看房通道/降低开发成本；</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案例：某项目结合各阶段总平面布置精益管理示例（</w:t>
      </w:r>
      <w:r>
        <w:rPr>
          <w:rFonts w:hint="eastAsia" w:ascii="微软雅黑" w:hAnsi="微软雅黑" w:eastAsia="微软雅黑"/>
          <w:b/>
          <w:color w:val="0070C0"/>
          <w:sz w:val="24"/>
          <w:szCs w:val="24"/>
        </w:rPr>
        <w:t>如何调动项目各职能部门共同参与成本全周期管控的积极性</w:t>
      </w:r>
      <w:r>
        <w:rPr>
          <w:rFonts w:hint="eastAsia" w:ascii="微软雅黑" w:hAnsi="微软雅黑" w:eastAsia="微软雅黑"/>
          <w:b/>
          <w:sz w:val="24"/>
          <w:szCs w:val="24"/>
        </w:rPr>
        <w:t>）；</w:t>
      </w:r>
      <w:r>
        <w:rPr>
          <w:rFonts w:ascii="微软雅黑" w:hAnsi="微软雅黑" w:eastAsia="微软雅黑"/>
          <w:b/>
          <w:sz w:val="24"/>
          <w:szCs w:val="24"/>
        </w:rPr>
        <w:t xml:space="preserve"> </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案例：某项目堆场/通道/塔吊全周期布置精益管理示例；</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例题：某项目堆场/通道/塔吊全周期布置精益管理分析；</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w:t>
      </w:r>
      <w:r>
        <w:rPr>
          <w:rFonts w:hint="eastAsia" w:ascii="微软雅黑" w:hAnsi="微软雅黑" w:eastAsia="微软雅黑"/>
          <w:b/>
          <w:bCs/>
          <w:sz w:val="24"/>
          <w:szCs w:val="24"/>
        </w:rPr>
        <w:t>地下建筑后浇带构造柱结构支撑/盖板布置</w:t>
      </w:r>
      <w:r>
        <w:rPr>
          <w:rFonts w:hint="eastAsia" w:ascii="微软雅黑" w:hAnsi="微软雅黑" w:eastAsia="微软雅黑"/>
          <w:b/>
          <w:sz w:val="24"/>
          <w:szCs w:val="24"/>
        </w:rPr>
        <w:t>精益管理示例；</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w:t>
      </w:r>
      <w:r>
        <w:rPr>
          <w:rFonts w:hint="eastAsia" w:ascii="微软雅黑" w:hAnsi="微软雅黑" w:eastAsia="微软雅黑"/>
          <w:b/>
          <w:bCs/>
          <w:sz w:val="24"/>
          <w:szCs w:val="24"/>
        </w:rPr>
        <w:t>室外暗散水/排水沟布置精益管理</w:t>
      </w:r>
      <w:r>
        <w:rPr>
          <w:rFonts w:hint="eastAsia" w:ascii="微软雅黑" w:hAnsi="微软雅黑" w:eastAsia="微软雅黑"/>
          <w:b/>
          <w:sz w:val="24"/>
          <w:szCs w:val="24"/>
        </w:rPr>
        <w:t>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施工总平面布置管理要点总结；大门围墙定位/施工通道/临水电建设堆/动态总平布置；</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项目经营风险预控；业主行为/项目行为/变更洽商/合同缺陷/施工工艺/法律法规/不可抗力/不可预见；</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例题：某项目业主行为风险案例分析（</w:t>
      </w:r>
      <w:r>
        <w:rPr>
          <w:rFonts w:hint="eastAsia" w:ascii="微软雅黑" w:hAnsi="微软雅黑" w:eastAsia="微软雅黑"/>
          <w:b/>
          <w:color w:val="0070C0"/>
          <w:sz w:val="24"/>
          <w:szCs w:val="24"/>
        </w:rPr>
        <w:t>工程总承包管理在项目实施过程中经常踩的 “坑” 有哪些</w:t>
      </w:r>
      <w:r>
        <w:rPr>
          <w:rFonts w:hint="eastAsia" w:ascii="微软雅黑" w:hAnsi="微软雅黑" w:eastAsia="微软雅黑"/>
          <w:b/>
          <w:sz w:val="24"/>
          <w:szCs w:val="24"/>
        </w:rPr>
        <w:t>）；</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例题：某项目总承包行为风险案例分析；</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工程策划总结：知行合一/策划前置/产销平衡/技术先行</w:t>
      </w:r>
      <w:r>
        <w:rPr>
          <w:rFonts w:ascii="微软雅黑" w:hAnsi="微软雅黑" w:eastAsia="微软雅黑"/>
          <w:b/>
          <w:sz w:val="24"/>
          <w:szCs w:val="24"/>
        </w:rPr>
        <w:t>/</w:t>
      </w:r>
      <w:r>
        <w:rPr>
          <w:rFonts w:hint="eastAsia" w:ascii="微软雅黑" w:hAnsi="微软雅黑" w:eastAsia="微软雅黑"/>
          <w:b/>
          <w:sz w:val="24"/>
          <w:szCs w:val="24"/>
        </w:rPr>
        <w:t>重在执行/；</w:t>
      </w:r>
      <w:r>
        <w:rPr>
          <w:rFonts w:ascii="微软雅黑" w:hAnsi="微软雅黑" w:eastAsia="微软雅黑"/>
          <w:b/>
          <w:sz w:val="24"/>
          <w:szCs w:val="24"/>
        </w:rPr>
        <w:t xml:space="preserve"> </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第五部分：工程计划</w:t>
      </w:r>
      <w:r>
        <w:rPr>
          <w:rFonts w:ascii="微软雅黑" w:hAnsi="微软雅黑" w:eastAsia="微软雅黑" w:cs="微软雅黑"/>
          <w:b/>
          <w:color w:val="FF0000"/>
          <w:sz w:val="24"/>
        </w:rPr>
        <w:t>管理</w:t>
      </w:r>
    </w:p>
    <w:p>
      <w:pPr>
        <w:pStyle w:val="13"/>
        <w:numPr>
          <w:ilvl w:val="0"/>
          <w:numId w:val="5"/>
        </w:numPr>
        <w:ind w:left="1276"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计划精益管理要点；</w:t>
      </w:r>
      <w:r>
        <w:rPr>
          <w:rFonts w:hint="eastAsia" w:ascii="微软雅黑" w:hAnsi="微软雅黑" w:eastAsia="微软雅黑"/>
          <w:b/>
          <w:bCs/>
          <w:sz w:val="24"/>
          <w:szCs w:val="24"/>
        </w:rPr>
        <w:t>满足里程碑节点</w:t>
      </w:r>
      <w:r>
        <w:rPr>
          <w:rFonts w:hint="eastAsia" w:ascii="微软雅黑" w:hAnsi="微软雅黑" w:eastAsia="微软雅黑"/>
          <w:b/>
          <w:sz w:val="24"/>
          <w:szCs w:val="24"/>
        </w:rPr>
        <w:t>/</w:t>
      </w:r>
      <w:r>
        <w:rPr>
          <w:rFonts w:hint="eastAsia" w:ascii="微软雅黑" w:hAnsi="微软雅黑" w:eastAsia="微软雅黑"/>
          <w:b/>
          <w:bCs/>
          <w:sz w:val="24"/>
        </w:rPr>
        <w:t>满足标准工期</w:t>
      </w:r>
      <w:r>
        <w:rPr>
          <w:rFonts w:hint="eastAsia" w:ascii="微软雅黑" w:hAnsi="微软雅黑" w:eastAsia="微软雅黑"/>
          <w:b/>
          <w:sz w:val="24"/>
          <w:szCs w:val="24"/>
        </w:rPr>
        <w:t>/</w:t>
      </w:r>
      <w:r>
        <w:rPr>
          <w:rFonts w:hint="eastAsia" w:ascii="微软雅黑" w:hAnsi="微软雅黑" w:eastAsia="微软雅黑"/>
          <w:b/>
          <w:bCs/>
          <w:sz w:val="24"/>
        </w:rPr>
        <w:t>符合以销定产</w:t>
      </w:r>
      <w:r>
        <w:rPr>
          <w:rFonts w:hint="eastAsia" w:ascii="微软雅黑" w:hAnsi="微软雅黑" w:eastAsia="微软雅黑"/>
          <w:b/>
          <w:sz w:val="24"/>
          <w:szCs w:val="24"/>
        </w:rPr>
        <w:t>/</w:t>
      </w:r>
      <w:r>
        <w:rPr>
          <w:rFonts w:hint="eastAsia" w:ascii="微软雅黑" w:hAnsi="微软雅黑" w:eastAsia="微软雅黑"/>
          <w:b/>
          <w:bCs/>
          <w:sz w:val="24"/>
        </w:rPr>
        <w:t>大流水消除库存</w:t>
      </w:r>
      <w:r>
        <w:rPr>
          <w:rFonts w:hint="eastAsia" w:ascii="微软雅黑" w:hAnsi="微软雅黑" w:eastAsia="微软雅黑"/>
          <w:b/>
          <w:sz w:val="24"/>
          <w:szCs w:val="24"/>
        </w:rPr>
        <w:t>/</w:t>
      </w:r>
      <w:r>
        <w:rPr>
          <w:rFonts w:hint="eastAsia" w:ascii="微软雅黑" w:hAnsi="微软雅黑" w:eastAsia="微软雅黑"/>
          <w:b/>
          <w:bCs/>
          <w:sz w:val="24"/>
        </w:rPr>
        <w:t>小流水消除窝工;</w:t>
      </w:r>
    </w:p>
    <w:p>
      <w:pPr>
        <w:pStyle w:val="13"/>
        <w:numPr>
          <w:ilvl w:val="0"/>
          <w:numId w:val="5"/>
        </w:numPr>
        <w:ind w:left="1276" w:hanging="425" w:firstLineChars="0"/>
        <w:jc w:val="left"/>
        <w:rPr>
          <w:rFonts w:ascii="微软雅黑" w:hAnsi="微软雅黑" w:eastAsia="微软雅黑"/>
          <w:b/>
          <w:sz w:val="24"/>
          <w:szCs w:val="24"/>
        </w:rPr>
      </w:pPr>
      <w:r>
        <w:rPr>
          <w:rFonts w:ascii="微软雅黑" w:hAnsi="微软雅黑" w:eastAsia="微软雅黑"/>
          <w:b/>
          <w:sz w:val="24"/>
          <w:szCs w:val="24"/>
        </w:rPr>
        <w:drawing>
          <wp:anchor distT="0" distB="0" distL="114300" distR="114300" simplePos="0" relativeHeight="251662336" behindDoc="0" locked="0" layoutInCell="1" allowOverlap="1">
            <wp:simplePos x="0" y="0"/>
            <wp:positionH relativeFrom="column">
              <wp:posOffset>7255510</wp:posOffset>
            </wp:positionH>
            <wp:positionV relativeFrom="paragraph">
              <wp:posOffset>516255</wp:posOffset>
            </wp:positionV>
            <wp:extent cx="2156460" cy="1945005"/>
            <wp:effectExtent l="0" t="0" r="7620" b="5715"/>
            <wp:wrapSquare wrapText="bothSides"/>
            <wp:docPr id="1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7"/>
                    <pic:cNvPicPr>
                      <a:picLocks noChangeAspect="1"/>
                    </pic:cNvPicPr>
                  </pic:nvPicPr>
                  <pic:blipFill>
                    <a:blip r:embed="rId13"/>
                    <a:stretch>
                      <a:fillRect/>
                    </a:stretch>
                  </pic:blipFill>
                  <pic:spPr>
                    <a:xfrm>
                      <a:off x="0" y="0"/>
                      <a:ext cx="2156460" cy="1945005"/>
                    </a:xfrm>
                    <a:prstGeom prst="rect">
                      <a:avLst/>
                    </a:prstGeom>
                    <a:noFill/>
                    <a:ln>
                      <a:noFill/>
                    </a:ln>
                  </pic:spPr>
                </pic:pic>
              </a:graphicData>
            </a:graphic>
          </wp:anchor>
        </w:drawing>
      </w:r>
      <w:r>
        <w:rPr>
          <w:rFonts w:ascii="微软雅黑" w:hAnsi="微软雅黑" w:eastAsia="微软雅黑"/>
          <w:b/>
          <w:sz w:val="24"/>
          <w:szCs w:val="24"/>
        </w:rPr>
        <w:t>工程</w:t>
      </w:r>
      <w:r>
        <w:rPr>
          <w:rFonts w:hint="eastAsia" w:ascii="微软雅黑" w:hAnsi="微软雅黑" w:eastAsia="微软雅黑"/>
          <w:b/>
          <w:sz w:val="24"/>
          <w:szCs w:val="24"/>
        </w:rPr>
        <w:t>总承包标准工期；符合生产客观规律/合理施工管理（技术）间歇/保证质量目标前提下合理提速/管理标准化/产品标准化；</w:t>
      </w:r>
    </w:p>
    <w:p>
      <w:pPr>
        <w:pStyle w:val="13"/>
        <w:numPr>
          <w:ilvl w:val="0"/>
          <w:numId w:val="5"/>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制定零库存施工计划；现金流占比最低和利润率最大；现金流协同精益管理（产销平衡）；</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零库存（大流水施工）精益管理例题（</w:t>
      </w:r>
      <w:r>
        <w:rPr>
          <w:rFonts w:hint="eastAsia" w:ascii="微软雅黑" w:hAnsi="微软雅黑" w:eastAsia="微软雅黑"/>
          <w:b/>
          <w:color w:val="0070C0"/>
          <w:sz w:val="24"/>
          <w:szCs w:val="24"/>
        </w:rPr>
        <w:t>甲方不按节点付款或延迟付款；考虑到进度及成本因素，工程总承包项目建设不能轻易停滞，如何办；劳务班组出现停工、不配合现象，如何处理？</w:t>
      </w:r>
      <w:r>
        <w:rPr>
          <w:rFonts w:hint="eastAsia" w:ascii="微软雅黑" w:hAnsi="微软雅黑" w:eastAsia="微软雅黑"/>
          <w:b/>
          <w:sz w:val="24"/>
          <w:szCs w:val="24"/>
        </w:rPr>
        <w:t>）；如何实现全铝模降本提质；</w:t>
      </w:r>
    </w:p>
    <w:p>
      <w:pPr>
        <w:pStyle w:val="13"/>
        <w:numPr>
          <w:ilvl w:val="0"/>
          <w:numId w:val="5"/>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制定合理最短工期；标准工期/最短工期/合理最短工期；</w:t>
      </w:r>
    </w:p>
    <w:p>
      <w:pPr>
        <w:pStyle w:val="13"/>
        <w:numPr>
          <w:ilvl w:val="0"/>
          <w:numId w:val="5"/>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制定零窝工（小流水）施工计划；</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例题：顺序施工、平行施工、穿插施工三种施工劳务用工方式对比案例分析；</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案例：楼层截水系统；给排水、机电系统永临结合；办公室永临结合；</w:t>
      </w:r>
    </w:p>
    <w:p>
      <w:pPr>
        <w:pStyle w:val="13"/>
        <w:numPr>
          <w:ilvl w:val="0"/>
          <w:numId w:val="5"/>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计划精益管理总结；里程碑专业协同/标准化管理基础/零库存大流水/零窝工小流水；</w:t>
      </w:r>
    </w:p>
    <w:p>
      <w:pPr>
        <w:pStyle w:val="13"/>
        <w:numPr>
          <w:ilvl w:val="0"/>
          <w:numId w:val="6"/>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讨论</w:t>
      </w:r>
      <w:r>
        <w:rPr>
          <w:rFonts w:ascii="微软雅黑" w:hAnsi="微软雅黑" w:eastAsia="微软雅黑"/>
          <w:b/>
          <w:sz w:val="24"/>
          <w:szCs w:val="24"/>
        </w:rPr>
        <w:t>：</w:t>
      </w:r>
      <w:r>
        <w:rPr>
          <w:rFonts w:hint="eastAsia" w:ascii="微软雅黑" w:hAnsi="微软雅黑" w:eastAsia="微软雅黑"/>
          <w:b/>
          <w:sz w:val="24"/>
          <w:szCs w:val="24"/>
        </w:rPr>
        <w:t>针对</w:t>
      </w:r>
      <w:r>
        <w:rPr>
          <w:rFonts w:hint="eastAsia" w:ascii="微软雅黑" w:hAnsi="微软雅黑" w:eastAsia="微软雅黑"/>
          <w:b/>
          <w:bCs/>
          <w:sz w:val="24"/>
          <w:szCs w:val="24"/>
        </w:rPr>
        <w:t>本项目工程总承包全周期总控计划的改进建议；</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第三部分：工程技术管理</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工程总承包</w:t>
      </w:r>
      <w:r>
        <w:rPr>
          <w:rFonts w:ascii="微软雅黑" w:hAnsi="微软雅黑" w:eastAsia="微软雅黑"/>
          <w:b/>
          <w:sz w:val="24"/>
          <w:szCs w:val="24"/>
        </w:rPr>
        <w:t>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w:t>
      </w:r>
      <w:r>
        <w:rPr>
          <w:rFonts w:hint="eastAsia" w:ascii="微软雅黑" w:hAnsi="微软雅黑" w:eastAsia="微软雅黑"/>
          <w:b/>
          <w:sz w:val="24"/>
          <w:szCs w:val="24"/>
        </w:rPr>
        <w:t>施工总承包</w:t>
      </w:r>
      <w:r>
        <w:rPr>
          <w:rFonts w:ascii="微软雅黑" w:hAnsi="微软雅黑" w:eastAsia="微软雅黑"/>
          <w:b/>
          <w:sz w:val="24"/>
          <w:szCs w:val="24"/>
        </w:rPr>
        <w:t>质量管理观点</w:t>
      </w:r>
      <w:r>
        <w:rPr>
          <w:rFonts w:hint="eastAsia" w:ascii="微软雅黑" w:hAnsi="微软雅黑" w:eastAsia="微软雅黑"/>
          <w:b/>
          <w:sz w:val="24"/>
          <w:szCs w:val="24"/>
        </w:rPr>
        <w:t>/工程总承包</w:t>
      </w:r>
      <w:r>
        <w:rPr>
          <w:rFonts w:ascii="微软雅黑" w:hAnsi="微软雅黑" w:eastAsia="微软雅黑"/>
          <w:b/>
          <w:sz w:val="24"/>
          <w:szCs w:val="24"/>
        </w:rPr>
        <w:t>质量管理观点</w:t>
      </w:r>
    </w:p>
    <w:p>
      <w:pPr>
        <w:pStyle w:val="13"/>
        <w:numPr>
          <w:ilvl w:val="0"/>
          <w:numId w:val="8"/>
        </w:numPr>
        <w:ind w:firstLineChars="0"/>
        <w:rPr>
          <w:rFonts w:ascii="微软雅黑" w:hAnsi="微软雅黑" w:eastAsia="微软雅黑"/>
          <w:b/>
          <w:sz w:val="24"/>
        </w:rPr>
      </w:pPr>
      <w:r>
        <w:rPr>
          <w:rFonts w:hint="eastAsia" w:ascii="微软雅黑" w:hAnsi="微软雅黑" w:eastAsia="微软雅黑"/>
          <w:b/>
          <w:sz w:val="24"/>
          <w:szCs w:val="24"/>
        </w:rPr>
        <w:t>工程技术</w:t>
      </w:r>
      <w:r>
        <w:rPr>
          <w:rFonts w:ascii="微软雅黑" w:hAnsi="微软雅黑" w:eastAsia="微软雅黑"/>
          <w:b/>
          <w:sz w:val="24"/>
          <w:szCs w:val="24"/>
        </w:rPr>
        <w:t>策划要点架构</w:t>
      </w:r>
      <w:r>
        <w:rPr>
          <w:rFonts w:hint="eastAsia" w:ascii="微软雅黑" w:hAnsi="微软雅黑" w:eastAsia="微软雅黑"/>
          <w:b/>
          <w:sz w:val="24"/>
          <w:szCs w:val="24"/>
        </w:rPr>
        <w:t>；</w:t>
      </w:r>
      <w:r>
        <w:rPr>
          <w:rFonts w:hint="eastAsia" w:ascii="微软雅黑" w:hAnsi="微软雅黑" w:eastAsia="微软雅黑"/>
          <w:b/>
          <w:bCs/>
          <w:sz w:val="24"/>
          <w:szCs w:val="24"/>
        </w:rPr>
        <w:t>工程设计精益管理</w:t>
      </w:r>
      <w:r>
        <w:rPr>
          <w:rFonts w:hint="eastAsia" w:ascii="微软雅黑" w:hAnsi="微软雅黑" w:eastAsia="微软雅黑"/>
          <w:b/>
          <w:sz w:val="24"/>
          <w:szCs w:val="24"/>
        </w:rPr>
        <w:t>：</w:t>
      </w:r>
      <w:r>
        <w:rPr>
          <w:rFonts w:hint="eastAsia" w:ascii="微软雅黑" w:hAnsi="微软雅黑" w:eastAsia="微软雅黑"/>
          <w:b/>
          <w:bCs/>
          <w:sz w:val="24"/>
        </w:rPr>
        <w:t>零缺陷</w:t>
      </w:r>
      <w:r>
        <w:rPr>
          <w:rFonts w:hint="eastAsia" w:ascii="微软雅黑" w:hAnsi="微软雅黑" w:eastAsia="微软雅黑"/>
          <w:b/>
          <w:sz w:val="24"/>
          <w:szCs w:val="24"/>
        </w:rPr>
        <w:t>（</w:t>
      </w:r>
      <w:r>
        <w:rPr>
          <w:rFonts w:hint="eastAsia" w:ascii="微软雅黑" w:hAnsi="微软雅黑" w:eastAsia="微软雅黑"/>
          <w:b/>
          <w:bCs/>
          <w:sz w:val="24"/>
        </w:rPr>
        <w:t>同构造(降投诉)</w:t>
      </w:r>
      <w:r>
        <w:rPr>
          <w:rFonts w:ascii="微软雅黑" w:hAnsi="微软雅黑" w:eastAsia="微软雅黑"/>
          <w:b/>
          <w:bCs/>
          <w:sz w:val="24"/>
        </w:rPr>
        <w:t>(</w:t>
      </w:r>
      <w:r>
        <w:rPr>
          <w:rFonts w:hint="eastAsia" w:ascii="微软雅黑" w:hAnsi="微软雅黑" w:eastAsia="微软雅黑"/>
          <w:b/>
          <w:bCs/>
          <w:sz w:val="24"/>
        </w:rPr>
        <w:t>易施工</w:t>
      </w:r>
      <w:r>
        <w:rPr>
          <w:rFonts w:hint="eastAsia" w:ascii="微软雅黑" w:hAnsi="微软雅黑" w:eastAsia="微软雅黑"/>
          <w:b/>
          <w:sz w:val="24"/>
          <w:szCs w:val="24"/>
        </w:rPr>
        <w:t>)/</w:t>
      </w:r>
      <w:r>
        <w:rPr>
          <w:rFonts w:hint="eastAsia" w:ascii="微软雅黑" w:hAnsi="微软雅黑" w:eastAsia="微软雅黑"/>
          <w:b/>
          <w:bCs/>
          <w:sz w:val="24"/>
        </w:rPr>
        <w:t>全协同</w:t>
      </w:r>
      <w:r>
        <w:rPr>
          <w:rFonts w:hint="eastAsia" w:ascii="微软雅黑" w:hAnsi="微软雅黑" w:eastAsia="微软雅黑"/>
          <w:b/>
          <w:sz w:val="24"/>
        </w:rPr>
        <w:t>(</w:t>
      </w:r>
      <w:r>
        <w:rPr>
          <w:rFonts w:hint="eastAsia" w:ascii="微软雅黑" w:hAnsi="微软雅黑" w:eastAsia="微软雅黑"/>
          <w:b/>
          <w:bCs/>
          <w:sz w:val="24"/>
        </w:rPr>
        <w:t>四图)</w:t>
      </w:r>
      <w:r>
        <w:rPr>
          <w:rFonts w:hint="eastAsia" w:ascii="微软雅黑" w:hAnsi="微软雅黑" w:eastAsia="微软雅黑"/>
          <w:b/>
          <w:sz w:val="24"/>
        </w:rPr>
        <w:t>(</w:t>
      </w:r>
      <w:r>
        <w:rPr>
          <w:rFonts w:hint="eastAsia" w:ascii="微软雅黑" w:hAnsi="微软雅黑" w:eastAsia="微软雅黑"/>
          <w:b/>
          <w:bCs/>
          <w:sz w:val="24"/>
        </w:rPr>
        <w:t>管综)</w:t>
      </w:r>
      <w:r>
        <w:rPr>
          <w:rFonts w:ascii="微软雅黑" w:hAnsi="微软雅黑" w:eastAsia="微软雅黑"/>
          <w:b/>
          <w:bCs/>
          <w:sz w:val="24"/>
        </w:rPr>
        <w:t>)</w:t>
      </w:r>
      <w:r>
        <w:rPr>
          <w:rFonts w:hint="eastAsia" w:ascii="微软雅黑" w:hAnsi="微软雅黑" w:eastAsia="微软雅黑"/>
          <w:b/>
          <w:sz w:val="24"/>
        </w:rPr>
        <w:t>；</w:t>
      </w:r>
      <w:r>
        <w:rPr>
          <w:rFonts w:hint="eastAsia" w:ascii="微软雅黑" w:hAnsi="微软雅黑" w:eastAsia="微软雅黑"/>
          <w:b/>
          <w:bCs/>
          <w:sz w:val="24"/>
        </w:rPr>
        <w:t>零返修(易</w:t>
      </w:r>
      <w:r>
        <w:rPr>
          <w:rFonts w:ascii="微软雅黑" w:hAnsi="微软雅黑" w:eastAsia="微软雅黑"/>
          <w:b/>
          <w:bCs/>
          <w:sz w:val="24"/>
        </w:rPr>
        <w:t>/</w:t>
      </w:r>
      <w:r>
        <w:rPr>
          <w:rFonts w:hint="eastAsia" w:ascii="微软雅黑" w:hAnsi="微软雅黑" w:eastAsia="微软雅黑"/>
          <w:b/>
          <w:bCs/>
          <w:sz w:val="24"/>
        </w:rPr>
        <w:t>免检查)(易/免维修)；</w:t>
      </w:r>
    </w:p>
    <w:p>
      <w:pPr>
        <w:pStyle w:val="13"/>
        <w:numPr>
          <w:ilvl w:val="0"/>
          <w:numId w:val="8"/>
        </w:numPr>
        <w:ind w:firstLineChars="0"/>
        <w:rPr>
          <w:rFonts w:ascii="微软雅黑" w:hAnsi="微软雅黑" w:eastAsia="微软雅黑"/>
          <w:b/>
          <w:sz w:val="24"/>
        </w:rPr>
      </w:pPr>
      <w:r>
        <w:rPr>
          <w:rFonts w:hint="eastAsia" w:ascii="微软雅黑" w:hAnsi="微软雅黑" w:eastAsia="微软雅黑"/>
          <w:b/>
          <w:sz w:val="24"/>
          <w:szCs w:val="24"/>
        </w:rPr>
        <w:t>同构造（统一设计参数）/外墙全现浇/</w:t>
      </w:r>
      <w:r>
        <w:rPr>
          <w:rFonts w:hint="eastAsia" w:ascii="微软雅黑" w:hAnsi="微软雅黑" w:eastAsia="微软雅黑"/>
          <w:b/>
          <w:bCs/>
          <w:sz w:val="24"/>
          <w:szCs w:val="24"/>
        </w:rPr>
        <w:t>免砌筑（构造柱/过梁/反槛</w:t>
      </w:r>
      <w:r>
        <w:rPr>
          <w:rFonts w:ascii="微软雅黑" w:hAnsi="微软雅黑" w:eastAsia="微软雅黑"/>
          <w:b/>
          <w:bCs/>
          <w:sz w:val="24"/>
          <w:szCs w:val="24"/>
        </w:rPr>
        <w:t>/</w:t>
      </w:r>
      <w:r>
        <w:rPr>
          <w:rFonts w:hint="eastAsia" w:ascii="微软雅黑" w:hAnsi="微软雅黑" w:eastAsia="微软雅黑"/>
          <w:b/>
          <w:bCs/>
          <w:sz w:val="24"/>
          <w:szCs w:val="24"/>
        </w:rPr>
        <w:t>现浇</w:t>
      </w:r>
      <w:r>
        <w:rPr>
          <w:rFonts w:ascii="微软雅黑" w:hAnsi="微软雅黑" w:eastAsia="微软雅黑"/>
          <w:b/>
          <w:bCs/>
          <w:sz w:val="24"/>
          <w:szCs w:val="24"/>
        </w:rPr>
        <w:t>）</w:t>
      </w:r>
      <w:r>
        <w:rPr>
          <w:rFonts w:hint="eastAsia" w:ascii="微软雅黑" w:hAnsi="微软雅黑" w:eastAsia="微软雅黑"/>
          <w:b/>
          <w:bCs/>
          <w:sz w:val="24"/>
          <w:szCs w:val="24"/>
        </w:rPr>
        <w:t>/免抹灰/降投诉；</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例题：降投诉门窗洞口全现浇案例分析；</w:t>
      </w:r>
    </w:p>
    <w:p>
      <w:pPr>
        <w:pStyle w:val="13"/>
        <w:numPr>
          <w:ilvl w:val="0"/>
          <w:numId w:val="8"/>
        </w:numPr>
        <w:ind w:firstLineChars="0"/>
        <w:rPr>
          <w:rFonts w:ascii="微软雅黑" w:hAnsi="微软雅黑" w:eastAsia="微软雅黑"/>
          <w:b/>
          <w:sz w:val="24"/>
          <w:szCs w:val="24"/>
        </w:rPr>
      </w:pPr>
      <w:r>
        <w:rPr>
          <w:rFonts w:hint="eastAsia" w:ascii="微软雅黑" w:hAnsi="微软雅黑" w:eastAsia="微软雅黑"/>
          <w:b/>
          <w:sz w:val="24"/>
          <w:szCs w:val="24"/>
        </w:rPr>
        <w:t>全协同；工程四图/四图策划；管线综合；</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例题：现场四图管理缺失案例；</w:t>
      </w:r>
    </w:p>
    <w:p>
      <w:pPr>
        <w:pStyle w:val="13"/>
        <w:numPr>
          <w:ilvl w:val="0"/>
          <w:numId w:val="8"/>
        </w:numPr>
        <w:ind w:firstLineChars="0"/>
        <w:rPr>
          <w:rFonts w:ascii="微软雅黑" w:hAnsi="微软雅黑" w:eastAsia="微软雅黑"/>
          <w:b/>
          <w:sz w:val="24"/>
          <w:szCs w:val="24"/>
        </w:rPr>
      </w:pPr>
      <w:r>
        <w:rPr>
          <w:rFonts w:hint="eastAsia" w:ascii="微软雅黑" w:hAnsi="微软雅黑" w:eastAsia="微软雅黑"/>
          <w:b/>
          <w:sz w:val="24"/>
          <w:szCs w:val="24"/>
        </w:rPr>
        <w:t>零检查，零返修；</w:t>
      </w:r>
      <w:r>
        <w:rPr>
          <w:rFonts w:hint="eastAsia" w:ascii="微软雅黑" w:hAnsi="微软雅黑" w:eastAsia="微软雅黑"/>
          <w:b/>
          <w:bCs/>
          <w:sz w:val="24"/>
          <w:szCs w:val="24"/>
        </w:rPr>
        <w:t>易/免检查&amp;易/免检修；</w:t>
      </w:r>
      <w:r>
        <w:rPr>
          <w:rFonts w:hint="eastAsia" w:ascii="微软雅黑" w:hAnsi="微软雅黑" w:eastAsia="微软雅黑"/>
          <w:b/>
          <w:sz w:val="24"/>
          <w:szCs w:val="24"/>
        </w:rPr>
        <w:t>管线上天入墙；</w:t>
      </w:r>
      <w:r>
        <w:rPr>
          <w:rFonts w:ascii="微软雅黑" w:hAnsi="微软雅黑" w:eastAsia="微软雅黑"/>
          <w:b/>
          <w:sz w:val="24"/>
          <w:szCs w:val="24"/>
        </w:rPr>
        <w:t xml:space="preserve"> </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案例：墙体拉结件案例分析；</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外墙螺杆洞渗漏水案例分析；</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bCs/>
          <w:sz w:val="24"/>
          <w:szCs w:val="24"/>
        </w:rPr>
        <w:t>案例：</w:t>
      </w:r>
      <w:r>
        <w:rPr>
          <w:rFonts w:hint="eastAsia" w:ascii="微软雅黑" w:hAnsi="微软雅黑" w:eastAsia="微软雅黑"/>
          <w:b/>
          <w:sz w:val="24"/>
          <w:szCs w:val="24"/>
        </w:rPr>
        <w:t>楼板辐射系统案例分享；</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地采暖系统渗漏例题分析；</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工程</w:t>
      </w:r>
      <w:r>
        <w:rPr>
          <w:rFonts w:hint="eastAsia" w:ascii="微软雅黑" w:hAnsi="微软雅黑" w:eastAsia="微软雅黑"/>
          <w:b/>
          <w:bCs/>
          <w:sz w:val="24"/>
          <w:szCs w:val="24"/>
        </w:rPr>
        <w:t>技术</w:t>
      </w:r>
      <w:r>
        <w:rPr>
          <w:rFonts w:ascii="微软雅黑" w:hAnsi="微软雅黑" w:eastAsia="微软雅黑"/>
          <w:b/>
          <w:bCs/>
          <w:sz w:val="24"/>
          <w:szCs w:val="24"/>
        </w:rPr>
        <w:t>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同构造/全协同/图纸精/零检查/零返修；</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第四部分：工程工艺精益管理</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工艺设备工具精益要点；建造工艺精益/建造设备精益/建造工具精益；</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各专业建造工艺精益；工艺优化/</w:t>
      </w:r>
      <w:r>
        <w:rPr>
          <w:rFonts w:hint="eastAsia" w:ascii="微软雅黑" w:hAnsi="微软雅黑" w:eastAsia="微软雅黑"/>
          <w:b/>
          <w:bCs/>
          <w:sz w:val="24"/>
        </w:rPr>
        <w:t>标准化流程</w:t>
      </w:r>
      <w:r>
        <w:rPr>
          <w:rFonts w:hint="eastAsia" w:ascii="微软雅黑" w:hAnsi="微软雅黑" w:eastAsia="微软雅黑"/>
          <w:b/>
          <w:bCs/>
          <w:sz w:val="24"/>
          <w:szCs w:val="24"/>
        </w:rPr>
        <w:t>/</w:t>
      </w:r>
      <w:r>
        <w:rPr>
          <w:rFonts w:hint="eastAsia" w:ascii="微软雅黑" w:hAnsi="微软雅黑" w:eastAsia="微软雅黑"/>
          <w:b/>
          <w:bCs/>
          <w:sz w:val="24"/>
        </w:rPr>
        <w:t>提高工效</w:t>
      </w:r>
      <w:r>
        <w:rPr>
          <w:rFonts w:hint="eastAsia" w:ascii="微软雅黑" w:hAnsi="微软雅黑" w:eastAsia="微软雅黑"/>
          <w:b/>
          <w:bCs/>
          <w:sz w:val="24"/>
          <w:szCs w:val="24"/>
        </w:rPr>
        <w:t>/</w:t>
      </w:r>
      <w:r>
        <w:rPr>
          <w:rFonts w:hint="eastAsia" w:ascii="微软雅黑" w:hAnsi="微软雅黑" w:eastAsia="微软雅黑"/>
          <w:b/>
          <w:bCs/>
          <w:sz w:val="24"/>
        </w:rPr>
        <w:t>减少消耗</w:t>
      </w:r>
      <w:r>
        <w:rPr>
          <w:rFonts w:hint="eastAsia" w:ascii="微软雅黑" w:hAnsi="微软雅黑" w:eastAsia="微软雅黑"/>
          <w:b/>
          <w:sz w:val="24"/>
          <w:szCs w:val="24"/>
        </w:rPr>
        <w:t>（</w:t>
      </w:r>
      <w:r>
        <w:rPr>
          <w:rFonts w:hint="eastAsia" w:ascii="微软雅黑" w:hAnsi="微软雅黑" w:eastAsia="微软雅黑"/>
          <w:b/>
          <w:color w:val="0070C0"/>
          <w:sz w:val="24"/>
          <w:szCs w:val="24"/>
        </w:rPr>
        <w:t>如何调动项目各职能部门共同参与成本全周期管控的积极性</w:t>
      </w:r>
      <w:r>
        <w:rPr>
          <w:rFonts w:hint="eastAsia" w:ascii="微软雅黑" w:hAnsi="微软雅黑" w:eastAsia="微软雅黑"/>
          <w:b/>
          <w:bCs/>
          <w:sz w:val="24"/>
        </w:rPr>
        <w:t>）；</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高预制构件工艺;</w:t>
      </w:r>
      <w:r>
        <w:rPr>
          <w:rFonts w:ascii="微软雅黑" w:hAnsi="微软雅黑" w:eastAsia="微软雅黑"/>
          <w:b/>
          <w:bCs/>
          <w:sz w:val="24"/>
          <w:szCs w:val="24"/>
        </w:rPr>
        <w:t xml:space="preserve"> 保证质量</w:t>
      </w:r>
      <w:r>
        <w:rPr>
          <w:rFonts w:hint="eastAsia" w:ascii="微软雅黑" w:hAnsi="微软雅黑" w:eastAsia="微软雅黑"/>
          <w:b/>
          <w:bCs/>
          <w:sz w:val="24"/>
          <w:szCs w:val="24"/>
        </w:rPr>
        <w:t>/</w:t>
      </w:r>
      <w:r>
        <w:rPr>
          <w:rFonts w:ascii="微软雅黑" w:hAnsi="微软雅黑" w:eastAsia="微软雅黑"/>
          <w:b/>
          <w:bCs/>
          <w:sz w:val="24"/>
          <w:szCs w:val="24"/>
        </w:rPr>
        <w:t>简化工艺</w:t>
      </w:r>
      <w:r>
        <w:rPr>
          <w:rFonts w:hint="eastAsia" w:ascii="微软雅黑" w:hAnsi="微软雅黑" w:eastAsia="微软雅黑"/>
          <w:b/>
          <w:bCs/>
          <w:sz w:val="24"/>
          <w:szCs w:val="24"/>
        </w:rPr>
        <w:t>/</w:t>
      </w:r>
      <w:r>
        <w:rPr>
          <w:rFonts w:ascii="微软雅黑" w:hAnsi="微软雅黑" w:eastAsia="微软雅黑"/>
          <w:b/>
          <w:bCs/>
          <w:sz w:val="24"/>
          <w:szCs w:val="24"/>
        </w:rPr>
        <w:t>持续改进</w:t>
      </w:r>
      <w:r>
        <w:rPr>
          <w:rFonts w:hint="eastAsia" w:ascii="微软雅黑" w:hAnsi="微软雅黑" w:eastAsia="微软雅黑"/>
          <w:b/>
          <w:bCs/>
          <w:sz w:val="24"/>
          <w:szCs w:val="24"/>
        </w:rPr>
        <w:t>/</w:t>
      </w:r>
      <w:r>
        <w:rPr>
          <w:rFonts w:ascii="微软雅黑" w:hAnsi="微软雅黑" w:eastAsia="微软雅黑"/>
          <w:b/>
          <w:bCs/>
          <w:sz w:val="24"/>
          <w:szCs w:val="24"/>
        </w:rPr>
        <w:t>消除浪费</w:t>
      </w:r>
      <w:r>
        <w:rPr>
          <w:rFonts w:hint="eastAsia" w:ascii="微软雅黑" w:hAnsi="微软雅黑" w:eastAsia="微软雅黑"/>
          <w:b/>
          <w:bCs/>
          <w:sz w:val="24"/>
          <w:szCs w:val="24"/>
        </w:rPr>
        <w:t>；标准化/产业化/消除浪费/降低成本/提高工效/绿色施工；</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提高基础/结构构件预制率；</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案例：空调板根部渗漏开裂案例分析；</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提高建筑/机电构件预制率；</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管道预留洞口渗漏案例分析；</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提高装修/园林/市政构件预制率；</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金属模板/高精地坪/高精内墙/喷射粉刷石膏/结构自防水/保温模板内置；</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建造设备精益；外爬架/布料杆/内用电梯/机位附墙；</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建造工具精益；钢筋绑扎机/拉毛水枪/气动凿毛机/坐式双盘抛光机/墙体线管开槽机/砂浆填缝枪/瓷砖开孔器/瓷砖振动器；</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案例：操作工具不适用导致渗漏案例分析；</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工程工艺精益管理小结：</w:t>
      </w:r>
      <w:r>
        <w:rPr>
          <w:rFonts w:ascii="微软雅黑" w:hAnsi="微软雅黑" w:eastAsia="微软雅黑"/>
          <w:b/>
          <w:bCs/>
          <w:sz w:val="24"/>
          <w:szCs w:val="24"/>
        </w:rPr>
        <w:t>工程工艺精益管理</w:t>
      </w:r>
      <w:r>
        <w:rPr>
          <w:rFonts w:hint="eastAsia" w:ascii="微软雅黑" w:hAnsi="微软雅黑" w:eastAsia="微软雅黑"/>
          <w:b/>
          <w:bCs/>
          <w:sz w:val="24"/>
          <w:szCs w:val="24"/>
        </w:rPr>
        <w:t>；</w:t>
      </w:r>
      <w:r>
        <w:rPr>
          <w:rFonts w:ascii="微软雅黑" w:hAnsi="微软雅黑" w:eastAsia="微软雅黑"/>
          <w:b/>
          <w:bCs/>
          <w:sz w:val="24"/>
        </w:rPr>
        <w:t>建造设备精益</w:t>
      </w:r>
      <w:r>
        <w:rPr>
          <w:rFonts w:hint="eastAsia" w:ascii="微软雅黑" w:hAnsi="微软雅黑" w:eastAsia="微软雅黑"/>
          <w:b/>
          <w:bCs/>
          <w:sz w:val="24"/>
          <w:szCs w:val="24"/>
        </w:rPr>
        <w:t>；</w:t>
      </w:r>
      <w:r>
        <w:rPr>
          <w:rFonts w:ascii="微软雅黑" w:hAnsi="微软雅黑" w:eastAsia="微软雅黑"/>
          <w:b/>
          <w:bCs/>
          <w:sz w:val="24"/>
        </w:rPr>
        <w:t>建造工具精益</w:t>
      </w:r>
      <w:r>
        <w:rPr>
          <w:rFonts w:hint="eastAsia" w:ascii="微软雅黑" w:hAnsi="微软雅黑" w:eastAsia="微软雅黑"/>
          <w:b/>
          <w:bCs/>
          <w:sz w:val="24"/>
        </w:rPr>
        <w:t>；</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rPr>
        <w:t>分组讨论与交流；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第五部分：工程成本精益管理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现场成本管理；成本管理是项目总重要职责；</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成本支出曲线/工程策划对项目成本的影响曲线；成本管理价值点分析；设计阶段决定了后期成本的7</w:t>
      </w:r>
      <w:r>
        <w:rPr>
          <w:rFonts w:ascii="微软雅黑" w:hAnsi="微软雅黑" w:eastAsia="微软雅黑"/>
          <w:b/>
          <w:sz w:val="24"/>
          <w:szCs w:val="24"/>
        </w:rPr>
        <w:t>0%</w:t>
      </w:r>
      <w:r>
        <w:rPr>
          <w:rFonts w:hint="eastAsia" w:ascii="微软雅黑" w:hAnsi="微软雅黑" w:eastAsia="微软雅黑"/>
          <w:b/>
          <w:sz w:val="24"/>
          <w:szCs w:val="24"/>
        </w:rPr>
        <w:t>；（</w:t>
      </w:r>
      <w:r>
        <w:rPr>
          <w:rFonts w:hint="eastAsia" w:ascii="微软雅黑" w:hAnsi="微软雅黑" w:eastAsia="微软雅黑"/>
          <w:b/>
          <w:color w:val="0070C0"/>
          <w:sz w:val="24"/>
          <w:szCs w:val="24"/>
        </w:rPr>
        <w:t>如何调动项目各职能部门共同参与成本全周期管控的积极性</w:t>
      </w:r>
      <w:r>
        <w:rPr>
          <w:rFonts w:hint="eastAsia" w:ascii="微软雅黑" w:hAnsi="微软雅黑" w:eastAsia="微软雅黑"/>
          <w:b/>
          <w:sz w:val="24"/>
          <w:szCs w:val="24"/>
        </w:rPr>
        <w:t>）；</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成本管理中常见的几个问题；缺乏目标成本管理/忽视前期/忽视重点/手段不当；</w:t>
      </w:r>
    </w:p>
    <w:p>
      <w:pPr>
        <w:pStyle w:val="13"/>
        <w:numPr>
          <w:ilvl w:val="0"/>
          <w:numId w:val="10"/>
        </w:numPr>
        <w:ind w:left="1276" w:hanging="425" w:firstLineChars="0"/>
        <w:jc w:val="left"/>
        <w:rPr>
          <w:rFonts w:ascii="微软雅黑" w:hAnsi="微软雅黑" w:eastAsia="微软雅黑"/>
          <w:b/>
          <w:sz w:val="24"/>
          <w:szCs w:val="24"/>
        </w:rPr>
      </w:pPr>
      <w:r>
        <w:rPr>
          <w:lang/>
        </w:rPr>
        <w:drawing>
          <wp:anchor distT="0" distB="0" distL="114300" distR="114300" simplePos="0" relativeHeight="251663360" behindDoc="0" locked="0" layoutInCell="1" allowOverlap="1">
            <wp:simplePos x="0" y="0"/>
            <wp:positionH relativeFrom="column">
              <wp:posOffset>6708140</wp:posOffset>
            </wp:positionH>
            <wp:positionV relativeFrom="paragraph">
              <wp:posOffset>418465</wp:posOffset>
            </wp:positionV>
            <wp:extent cx="3218815" cy="1882140"/>
            <wp:effectExtent l="0" t="0" r="12065" b="0"/>
            <wp:wrapSquare wrapText="bothSides"/>
            <wp:docPr id="1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6"/>
                    <pic:cNvPicPr>
                      <a:picLocks noChangeAspect="1"/>
                    </pic:cNvPicPr>
                  </pic:nvPicPr>
                  <pic:blipFill>
                    <a:blip r:embed="rId14"/>
                    <a:stretch>
                      <a:fillRect/>
                    </a:stretch>
                  </pic:blipFill>
                  <pic:spPr>
                    <a:xfrm>
                      <a:off x="0" y="0"/>
                      <a:ext cx="3218815" cy="1882140"/>
                    </a:xfrm>
                    <a:prstGeom prst="rect">
                      <a:avLst/>
                    </a:prstGeom>
                    <a:noFill/>
                    <a:ln>
                      <a:noFill/>
                    </a:ln>
                  </pic:spPr>
                </pic:pic>
              </a:graphicData>
            </a:graphic>
          </wp:anchor>
        </w:drawing>
      </w:r>
      <w:r>
        <w:rPr>
          <w:rFonts w:hint="eastAsia" w:ascii="微软雅黑" w:hAnsi="微软雅黑" w:eastAsia="微软雅黑"/>
          <w:b/>
          <w:sz w:val="24"/>
          <w:szCs w:val="24"/>
        </w:rPr>
        <w:t>聚焦成本进行有效投放；分为急需成本控制/影响客户体验/可优化/必须支出/调整性不大几类；不均衡投放；成本聚焦客户看得见/用得到；</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成本管理价值点1；设计阶段成本控制介入；缺陷反馈；标准化图集；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w:t>
      </w:r>
      <w:r>
        <w:rPr>
          <w:rFonts w:ascii="微软雅黑" w:hAnsi="微软雅黑" w:eastAsia="微软雅黑"/>
          <w:b/>
          <w:sz w:val="24"/>
          <w:szCs w:val="24"/>
        </w:rPr>
        <w:t>2</w:t>
      </w:r>
      <w:r>
        <w:rPr>
          <w:rFonts w:hint="eastAsia" w:ascii="微软雅黑" w:hAnsi="微软雅黑" w:eastAsia="微软雅黑"/>
          <w:b/>
          <w:sz w:val="24"/>
          <w:szCs w:val="24"/>
        </w:rPr>
        <w:t>；审图；</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w:t>
      </w:r>
      <w:r>
        <w:rPr>
          <w:rFonts w:ascii="微软雅黑" w:hAnsi="微软雅黑" w:eastAsia="微软雅黑"/>
          <w:b/>
          <w:sz w:val="24"/>
          <w:szCs w:val="24"/>
        </w:rPr>
        <w:t>3</w:t>
      </w:r>
      <w:r>
        <w:rPr>
          <w:rFonts w:hint="eastAsia" w:ascii="微软雅黑" w:hAnsi="微软雅黑" w:eastAsia="微软雅黑"/>
          <w:b/>
          <w:sz w:val="24"/>
          <w:szCs w:val="24"/>
        </w:rPr>
        <w:t>；工程四图管理；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w:t>
      </w:r>
      <w:r>
        <w:rPr>
          <w:rFonts w:ascii="微软雅黑" w:hAnsi="微软雅黑" w:eastAsia="微软雅黑"/>
          <w:b/>
          <w:sz w:val="24"/>
          <w:szCs w:val="24"/>
        </w:rPr>
        <w:t>4</w:t>
      </w:r>
      <w:r>
        <w:rPr>
          <w:rFonts w:hint="eastAsia" w:ascii="微软雅黑" w:hAnsi="微软雅黑" w:eastAsia="微软雅黑"/>
          <w:b/>
          <w:sz w:val="24"/>
          <w:szCs w:val="24"/>
        </w:rPr>
        <w:t>；施工组织设计管理；</w:t>
      </w:r>
      <w:r>
        <w:rPr>
          <w:rFonts w:ascii="微软雅黑" w:hAnsi="微软雅黑" w:eastAsia="微软雅黑"/>
          <w:b/>
          <w:sz w:val="24"/>
          <w:szCs w:val="24"/>
        </w:rPr>
        <w:t xml:space="preserve"> </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w:t>
      </w:r>
      <w:r>
        <w:rPr>
          <w:rFonts w:ascii="微软雅黑" w:hAnsi="微软雅黑" w:eastAsia="微软雅黑"/>
          <w:b/>
          <w:sz w:val="24"/>
          <w:szCs w:val="24"/>
        </w:rPr>
        <w:t>4</w:t>
      </w:r>
      <w:r>
        <w:rPr>
          <w:rFonts w:hint="eastAsia" w:ascii="微软雅黑" w:hAnsi="微软雅黑" w:eastAsia="微软雅黑"/>
          <w:b/>
          <w:sz w:val="24"/>
          <w:szCs w:val="24"/>
        </w:rPr>
        <w:t>；三个样板间管理；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成本管理价值点</w:t>
      </w:r>
      <w:r>
        <w:rPr>
          <w:rFonts w:ascii="微软雅黑" w:hAnsi="微软雅黑" w:eastAsia="微软雅黑"/>
          <w:b/>
          <w:sz w:val="24"/>
          <w:szCs w:val="24"/>
        </w:rPr>
        <w:t>5</w:t>
      </w:r>
      <w:r>
        <w:rPr>
          <w:rFonts w:hint="eastAsia" w:ascii="微软雅黑" w:hAnsi="微软雅黑" w:eastAsia="微软雅黑"/>
          <w:b/>
          <w:sz w:val="24"/>
          <w:szCs w:val="24"/>
        </w:rPr>
        <w:t>；</w:t>
      </w:r>
      <w:r>
        <w:rPr>
          <w:rFonts w:ascii="微软雅黑" w:hAnsi="微软雅黑" w:eastAsia="微软雅黑"/>
          <w:b/>
          <w:sz w:val="24"/>
          <w:szCs w:val="24"/>
        </w:rPr>
        <w:t xml:space="preserve"> </w:t>
      </w:r>
      <w:r>
        <w:rPr>
          <w:rFonts w:hint="eastAsia" w:ascii="微软雅黑" w:hAnsi="微软雅黑" w:eastAsia="微软雅黑"/>
          <w:b/>
          <w:sz w:val="24"/>
          <w:szCs w:val="24"/>
        </w:rPr>
        <w:t>现场变更签证管理；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倡导成本管理“三个固化”；合同内容/审批流程/表单格式固化；</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工程款支付管理；按合同约定/注意预扣款/避免超付/结算保修；</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合同外增量成本管理；设计变更/工程洽商/现场签证/零星用工等；</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索赔与反索赔；证据收集；</w:t>
      </w:r>
    </w:p>
    <w:p>
      <w:pPr>
        <w:pStyle w:val="13"/>
        <w:numPr>
          <w:ilvl w:val="0"/>
          <w:numId w:val="10"/>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分组讨论与交流；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第六部分：提高“谈判”和“沟通”效率</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通过“谈判”和“沟通”提高效率</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案例：XX项目市政道路进度延迟影响本项目交付进度案例分析（</w:t>
      </w:r>
      <w:r>
        <w:rPr>
          <w:rFonts w:hint="eastAsia" w:ascii="微软雅黑" w:hAnsi="微软雅黑" w:eastAsia="微软雅黑"/>
          <w:b/>
          <w:color w:val="0070C0"/>
          <w:sz w:val="24"/>
          <w:szCs w:val="24"/>
        </w:rPr>
        <w:t>工程总承包方如何有效沟通社会干系方，消除人为干扰因素</w:t>
      </w:r>
      <w:r>
        <w:rPr>
          <w:rFonts w:hint="eastAsia" w:ascii="微软雅黑" w:hAnsi="微软雅黑" w:eastAsia="微软雅黑"/>
          <w:b/>
          <w:sz w:val="24"/>
          <w:szCs w:val="24"/>
        </w:rPr>
        <w:t>）</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有效的“谈判”和“沟通”</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案例：如何保开工案例分析，</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案例：施工图纸和报建图纸不一致如何保开盘案例分析（</w:t>
      </w:r>
      <w:r>
        <w:rPr>
          <w:rFonts w:hint="eastAsia" w:ascii="微软雅黑" w:hAnsi="微软雅黑" w:eastAsia="微软雅黑"/>
          <w:b/>
          <w:color w:val="0070C0"/>
          <w:sz w:val="24"/>
          <w:szCs w:val="24"/>
        </w:rPr>
        <w:t>工程总承包方如何有效沟通社会干系方，消除人为干扰因素</w:t>
      </w:r>
      <w:r>
        <w:rPr>
          <w:rFonts w:hint="eastAsia" w:ascii="微软雅黑" w:hAnsi="微软雅黑" w:eastAsia="微软雅黑"/>
          <w:b/>
          <w:sz w:val="24"/>
          <w:szCs w:val="24"/>
        </w:rPr>
        <w:t>）</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“谈判”风格的衡量维度</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影响“谈判”效果的行为风格</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双向“沟通”的途径</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案例：XX项目售楼处被砸事件的原因分析</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书面沟通；</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案例：XX项目罚款单被拒收案例分析</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常用沟通手段；</w:t>
      </w:r>
    </w:p>
    <w:p>
      <w:pPr>
        <w:pStyle w:val="13"/>
        <w:numPr>
          <w:ilvl w:val="2"/>
          <w:numId w:val="2"/>
        </w:numPr>
        <w:ind w:hanging="425"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案例：XX项目一瓶牛二=100万奖金案例分析</w:t>
      </w:r>
    </w:p>
    <w:p>
      <w:pPr>
        <w:pStyle w:val="13"/>
        <w:numPr>
          <w:ilvl w:val="0"/>
          <w:numId w:val="11"/>
        </w:numPr>
        <w:ind w:left="1134" w:hanging="283"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沟通的质量；</w:t>
      </w:r>
    </w:p>
    <w:p>
      <w:pPr>
        <w:pStyle w:val="13"/>
        <w:numPr>
          <w:ilvl w:val="0"/>
          <w:numId w:val="11"/>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项目管理总结：前期策划/中期执行/后期服务和总结改进；</w:t>
      </w:r>
    </w:p>
    <w:p>
      <w:pPr>
        <w:adjustRightInd w:val="0"/>
        <w:snapToGrid w:val="0"/>
        <w:spacing w:line="288" w:lineRule="auto"/>
        <w:rPr>
          <w:rFonts w:ascii="微软雅黑" w:hAnsi="微软雅黑" w:eastAsia="微软雅黑" w:cs="宋体"/>
          <w:color w:val="404040"/>
          <w:spacing w:val="10"/>
          <w:szCs w:val="21"/>
        </w:rPr>
      </w:pPr>
    </w:p>
    <w:p>
      <w:pPr>
        <w:adjustRightInd w:val="0"/>
        <w:snapToGrid w:val="0"/>
        <w:spacing w:line="288" w:lineRule="auto"/>
        <w:jc w:val="center"/>
        <w:rPr>
          <w:rFonts w:ascii="微软雅黑" w:hAnsi="微软雅黑" w:eastAsia="微软雅黑" w:cs="宋体"/>
          <w:b/>
          <w:color w:val="404040"/>
          <w:spacing w:val="10"/>
          <w:szCs w:val="21"/>
          <w:lang/>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tabs>
          <w:tab w:val="left" w:pos="13830"/>
        </w:tabs>
        <w:rPr>
          <w:rFonts w:ascii="微软雅黑" w:hAnsi="微软雅黑" w:eastAsia="微软雅黑" w:cs="宋体"/>
          <w:szCs w:val="21"/>
        </w:rPr>
      </w:pPr>
      <w:r>
        <w:rPr>
          <w:rFonts w:ascii="微软雅黑" w:hAnsi="微软雅黑" w:eastAsia="微软雅黑" w:cs="宋体"/>
          <w:szCs w:val="21"/>
        </w:rPr>
        <w:tab/>
      </w: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rPr>
          <w:rFonts w:ascii="微软雅黑" w:hAnsi="微软雅黑" w:eastAsia="微软雅黑" w:cs="宋体"/>
          <w:szCs w:val="21"/>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szCs w:val="21"/>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15"/>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职业背景"/>
                    <pic:cNvPicPr>
                      <a:picLocks noChangeAspect="1"/>
                    </pic:cNvPicPr>
                  </pic:nvPicPr>
                  <pic:blipFill>
                    <a:blip r:embed="rId16"/>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9"/>
                    <pic:cNvPicPr>
                      <a:picLocks noChangeAspect="1"/>
                    </pic:cNvPicPr>
                  </pic:nvPicPr>
                  <pic:blipFill>
                    <a:blip r:embed="rId17"/>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0"/>
                    <pic:cNvPicPr>
                      <a:picLocks noChangeAspect="1"/>
                    </pic:cNvPicPr>
                  </pic:nvPicPr>
                  <pic:blipFill>
                    <a:blip r:embed="rId18"/>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0"/>
        </w:numPr>
        <w:spacing w:line="360" w:lineRule="auto"/>
        <w:ind w:left="284" w:hanging="284"/>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《工程</w:t>
      </w:r>
      <w:bookmarkStart w:id="8" w:name="_Hlk118438294"/>
      <w:r>
        <w:rPr>
          <w:rFonts w:hint="eastAsia" w:ascii="微软雅黑" w:hAnsi="微软雅黑" w:eastAsia="微软雅黑" w:cs="微软雅黑"/>
          <w:color w:val="404040"/>
          <w:szCs w:val="21"/>
          <w:highlight w:val="yellow"/>
        </w:rPr>
        <w:t>总承包</w:t>
      </w:r>
      <w:bookmarkEnd w:id="8"/>
      <w:r>
        <w:rPr>
          <w:rFonts w:hint="eastAsia" w:ascii="微软雅黑" w:hAnsi="微软雅黑" w:eastAsia="微软雅黑" w:cs="微软雅黑"/>
          <w:color w:val="404040"/>
          <w:szCs w:val="21"/>
          <w:highlight w:val="yellow"/>
        </w:rPr>
        <w:t>工程管理之道与项目管理的管控要点及实战案例》</w:t>
      </w:r>
      <w:r>
        <w:rPr>
          <w:rFonts w:hint="eastAsia" w:ascii="微软雅黑" w:hAnsi="微软雅黑" w:eastAsia="微软雅黑" w:cs="微软雅黑"/>
          <w:b/>
          <w:color w:val="404040"/>
          <w:szCs w:val="21"/>
          <w:highlight w:val="yellow"/>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7726F4F"/>
    <w:multiLevelType w:val="multilevel"/>
    <w:tmpl w:val="27726F4F"/>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7">
    <w:nsid w:val="477B7A3B"/>
    <w:multiLevelType w:val="multilevel"/>
    <w:tmpl w:val="477B7A3B"/>
    <w:lvl w:ilvl="0" w:tentative="0">
      <w:start w:val="1"/>
      <w:numFmt w:val="decimal"/>
      <w:lvlText w:val="%1."/>
      <w:lvlJc w:val="left"/>
      <w:pPr>
        <w:ind w:left="21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AFA2C9F"/>
    <w:multiLevelType w:val="multilevel"/>
    <w:tmpl w:val="4AFA2C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9">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A412F88"/>
    <w:multiLevelType w:val="multilevel"/>
    <w:tmpl w:val="5A412F88"/>
    <w:lvl w:ilvl="0" w:tentative="0">
      <w:start w:val="1"/>
      <w:numFmt w:val="decimal"/>
      <w:lvlText w:val="%1."/>
      <w:lvlJc w:val="left"/>
      <w:pPr>
        <w:ind w:left="210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1">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2">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4">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7"/>
  </w:num>
  <w:num w:numId="2">
    <w:abstractNumId w:val="3"/>
  </w:num>
  <w:num w:numId="3">
    <w:abstractNumId w:val="14"/>
  </w:num>
  <w:num w:numId="4">
    <w:abstractNumId w:val="9"/>
  </w:num>
  <w:num w:numId="5">
    <w:abstractNumId w:val="6"/>
  </w:num>
  <w:num w:numId="6">
    <w:abstractNumId w:val="8"/>
  </w:num>
  <w:num w:numId="7">
    <w:abstractNumId w:val="12"/>
  </w:num>
  <w:num w:numId="8">
    <w:abstractNumId w:val="2"/>
  </w:num>
  <w:num w:numId="9">
    <w:abstractNumId w:val="13"/>
  </w:num>
  <w:num w:numId="10">
    <w:abstractNumId w:val="10"/>
  </w:num>
  <w:num w:numId="11">
    <w:abstractNumId w:val="7"/>
  </w:num>
  <w:num w:numId="12">
    <w:abstractNumId w:val="4"/>
  </w:num>
  <w:num w:numId="13">
    <w:abstractNumId w:val="18"/>
  </w:num>
  <w:num w:numId="14">
    <w:abstractNumId w:val="0"/>
  </w:num>
  <w:num w:numId="15">
    <w:abstractNumId w:val="5"/>
  </w:num>
  <w:num w:numId="16">
    <w:abstractNumId w:val="16"/>
  </w:num>
  <w:num w:numId="17">
    <w:abstractNumId w:val="11"/>
  </w:num>
  <w:num w:numId="18">
    <w:abstractNumId w:val="1"/>
  </w:num>
  <w:num w:numId="19">
    <w:abstractNumId w:val="11"/>
  </w:num>
  <w:num w:numId="20">
    <w:abstractNumId w:val="1"/>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136AB"/>
    <w:rsid w:val="00016000"/>
    <w:rsid w:val="00016988"/>
    <w:rsid w:val="000259EC"/>
    <w:rsid w:val="00033BB9"/>
    <w:rsid w:val="00044E73"/>
    <w:rsid w:val="00052A87"/>
    <w:rsid w:val="00061F32"/>
    <w:rsid w:val="00074A28"/>
    <w:rsid w:val="00075514"/>
    <w:rsid w:val="00077F19"/>
    <w:rsid w:val="000A615E"/>
    <w:rsid w:val="000B62F5"/>
    <w:rsid w:val="000B6C4B"/>
    <w:rsid w:val="000F0B10"/>
    <w:rsid w:val="001079F2"/>
    <w:rsid w:val="00110A76"/>
    <w:rsid w:val="00111518"/>
    <w:rsid w:val="00121663"/>
    <w:rsid w:val="00122ECE"/>
    <w:rsid w:val="0013013A"/>
    <w:rsid w:val="00141941"/>
    <w:rsid w:val="00143DE1"/>
    <w:rsid w:val="001462DA"/>
    <w:rsid w:val="00151DB4"/>
    <w:rsid w:val="00152FA0"/>
    <w:rsid w:val="001541CE"/>
    <w:rsid w:val="00161FB5"/>
    <w:rsid w:val="001651A9"/>
    <w:rsid w:val="00174BE0"/>
    <w:rsid w:val="001805E5"/>
    <w:rsid w:val="00180E07"/>
    <w:rsid w:val="00191555"/>
    <w:rsid w:val="00191ACB"/>
    <w:rsid w:val="00192E73"/>
    <w:rsid w:val="00194B9A"/>
    <w:rsid w:val="001A4C26"/>
    <w:rsid w:val="001B2F4E"/>
    <w:rsid w:val="001B31C4"/>
    <w:rsid w:val="001C391F"/>
    <w:rsid w:val="001D5CEE"/>
    <w:rsid w:val="001E0A5E"/>
    <w:rsid w:val="001E27B1"/>
    <w:rsid w:val="001F220B"/>
    <w:rsid w:val="00206F96"/>
    <w:rsid w:val="002170AA"/>
    <w:rsid w:val="00222A87"/>
    <w:rsid w:val="00235223"/>
    <w:rsid w:val="0024149A"/>
    <w:rsid w:val="00251845"/>
    <w:rsid w:val="002555A4"/>
    <w:rsid w:val="00255A23"/>
    <w:rsid w:val="00257FF1"/>
    <w:rsid w:val="00277115"/>
    <w:rsid w:val="00277D46"/>
    <w:rsid w:val="00286226"/>
    <w:rsid w:val="00286BC4"/>
    <w:rsid w:val="00286E78"/>
    <w:rsid w:val="00290A2A"/>
    <w:rsid w:val="0029176C"/>
    <w:rsid w:val="00291884"/>
    <w:rsid w:val="00291C6C"/>
    <w:rsid w:val="002A0C85"/>
    <w:rsid w:val="002A18C3"/>
    <w:rsid w:val="002C0DBB"/>
    <w:rsid w:val="002D6EF4"/>
    <w:rsid w:val="002D78D8"/>
    <w:rsid w:val="002E4E1A"/>
    <w:rsid w:val="002E7ACF"/>
    <w:rsid w:val="002E7B7B"/>
    <w:rsid w:val="002F0726"/>
    <w:rsid w:val="002F698F"/>
    <w:rsid w:val="00301B92"/>
    <w:rsid w:val="003027B3"/>
    <w:rsid w:val="00310680"/>
    <w:rsid w:val="00315701"/>
    <w:rsid w:val="0031596C"/>
    <w:rsid w:val="00321017"/>
    <w:rsid w:val="00343A78"/>
    <w:rsid w:val="00350713"/>
    <w:rsid w:val="00351A85"/>
    <w:rsid w:val="00363BA6"/>
    <w:rsid w:val="00371C38"/>
    <w:rsid w:val="00381C47"/>
    <w:rsid w:val="003875C3"/>
    <w:rsid w:val="003A065B"/>
    <w:rsid w:val="003A7457"/>
    <w:rsid w:val="003D09C1"/>
    <w:rsid w:val="003D2FED"/>
    <w:rsid w:val="003E619C"/>
    <w:rsid w:val="003F25E5"/>
    <w:rsid w:val="00401EC5"/>
    <w:rsid w:val="00404613"/>
    <w:rsid w:val="00407036"/>
    <w:rsid w:val="00423F1E"/>
    <w:rsid w:val="00427BD4"/>
    <w:rsid w:val="00447E2F"/>
    <w:rsid w:val="0045167C"/>
    <w:rsid w:val="00460E42"/>
    <w:rsid w:val="00475856"/>
    <w:rsid w:val="00475FE6"/>
    <w:rsid w:val="00486FFE"/>
    <w:rsid w:val="004A18A9"/>
    <w:rsid w:val="004A40B9"/>
    <w:rsid w:val="004A6684"/>
    <w:rsid w:val="004B4D36"/>
    <w:rsid w:val="004D67EF"/>
    <w:rsid w:val="004D6D36"/>
    <w:rsid w:val="004E1C26"/>
    <w:rsid w:val="004F7F69"/>
    <w:rsid w:val="00517AE3"/>
    <w:rsid w:val="005231BC"/>
    <w:rsid w:val="00531E46"/>
    <w:rsid w:val="00537A13"/>
    <w:rsid w:val="00543734"/>
    <w:rsid w:val="005567E6"/>
    <w:rsid w:val="00561494"/>
    <w:rsid w:val="00562444"/>
    <w:rsid w:val="00570DD7"/>
    <w:rsid w:val="0058697F"/>
    <w:rsid w:val="0059529D"/>
    <w:rsid w:val="00596E95"/>
    <w:rsid w:val="005976EB"/>
    <w:rsid w:val="005A02E8"/>
    <w:rsid w:val="005A0CDB"/>
    <w:rsid w:val="005A69DE"/>
    <w:rsid w:val="005A7695"/>
    <w:rsid w:val="005B232A"/>
    <w:rsid w:val="005B66EA"/>
    <w:rsid w:val="005C379A"/>
    <w:rsid w:val="005C4760"/>
    <w:rsid w:val="005C5240"/>
    <w:rsid w:val="005C55FE"/>
    <w:rsid w:val="005C6132"/>
    <w:rsid w:val="005D65BE"/>
    <w:rsid w:val="005F6060"/>
    <w:rsid w:val="005F73A6"/>
    <w:rsid w:val="005F7AFC"/>
    <w:rsid w:val="00601A56"/>
    <w:rsid w:val="006041AB"/>
    <w:rsid w:val="006051A0"/>
    <w:rsid w:val="00614386"/>
    <w:rsid w:val="0061673B"/>
    <w:rsid w:val="00621A02"/>
    <w:rsid w:val="00627B61"/>
    <w:rsid w:val="00633212"/>
    <w:rsid w:val="006376F4"/>
    <w:rsid w:val="0064561C"/>
    <w:rsid w:val="006533D5"/>
    <w:rsid w:val="00661F71"/>
    <w:rsid w:val="00672F1F"/>
    <w:rsid w:val="0067469A"/>
    <w:rsid w:val="00687D03"/>
    <w:rsid w:val="006A1F93"/>
    <w:rsid w:val="006A57F0"/>
    <w:rsid w:val="006B0DF4"/>
    <w:rsid w:val="006B4F4D"/>
    <w:rsid w:val="006C14F8"/>
    <w:rsid w:val="006C5E5E"/>
    <w:rsid w:val="006C686C"/>
    <w:rsid w:val="006D3DEF"/>
    <w:rsid w:val="006F37E6"/>
    <w:rsid w:val="00700E73"/>
    <w:rsid w:val="00702C3E"/>
    <w:rsid w:val="007348CC"/>
    <w:rsid w:val="00744641"/>
    <w:rsid w:val="00754E10"/>
    <w:rsid w:val="00760446"/>
    <w:rsid w:val="0077157B"/>
    <w:rsid w:val="007726F3"/>
    <w:rsid w:val="00786B5C"/>
    <w:rsid w:val="007B03E7"/>
    <w:rsid w:val="007D6748"/>
    <w:rsid w:val="007D67FE"/>
    <w:rsid w:val="007F617F"/>
    <w:rsid w:val="00802389"/>
    <w:rsid w:val="00802A72"/>
    <w:rsid w:val="00802AB8"/>
    <w:rsid w:val="008037AC"/>
    <w:rsid w:val="00842F50"/>
    <w:rsid w:val="00843E62"/>
    <w:rsid w:val="00844259"/>
    <w:rsid w:val="00857773"/>
    <w:rsid w:val="00871481"/>
    <w:rsid w:val="008736FB"/>
    <w:rsid w:val="008813E4"/>
    <w:rsid w:val="00882FF6"/>
    <w:rsid w:val="00885472"/>
    <w:rsid w:val="00886E33"/>
    <w:rsid w:val="008952AF"/>
    <w:rsid w:val="00896833"/>
    <w:rsid w:val="008C154B"/>
    <w:rsid w:val="008C6131"/>
    <w:rsid w:val="008D3093"/>
    <w:rsid w:val="008E7B08"/>
    <w:rsid w:val="008F2F73"/>
    <w:rsid w:val="009031C7"/>
    <w:rsid w:val="00922853"/>
    <w:rsid w:val="00924F5D"/>
    <w:rsid w:val="00947DA0"/>
    <w:rsid w:val="00955050"/>
    <w:rsid w:val="00960990"/>
    <w:rsid w:val="0097034A"/>
    <w:rsid w:val="00971458"/>
    <w:rsid w:val="0098470E"/>
    <w:rsid w:val="00994E8B"/>
    <w:rsid w:val="00996110"/>
    <w:rsid w:val="009A0345"/>
    <w:rsid w:val="009A189C"/>
    <w:rsid w:val="009A6653"/>
    <w:rsid w:val="009B121D"/>
    <w:rsid w:val="009B531D"/>
    <w:rsid w:val="009C0232"/>
    <w:rsid w:val="009C09FF"/>
    <w:rsid w:val="009C145D"/>
    <w:rsid w:val="009D6EBB"/>
    <w:rsid w:val="009D71CC"/>
    <w:rsid w:val="009E7AED"/>
    <w:rsid w:val="009F2D89"/>
    <w:rsid w:val="009F5577"/>
    <w:rsid w:val="00A02680"/>
    <w:rsid w:val="00A05C42"/>
    <w:rsid w:val="00A06D1A"/>
    <w:rsid w:val="00A213DD"/>
    <w:rsid w:val="00A236B2"/>
    <w:rsid w:val="00A36417"/>
    <w:rsid w:val="00A36A26"/>
    <w:rsid w:val="00A37120"/>
    <w:rsid w:val="00A4189D"/>
    <w:rsid w:val="00A522F0"/>
    <w:rsid w:val="00A53F13"/>
    <w:rsid w:val="00A54B56"/>
    <w:rsid w:val="00A76C3F"/>
    <w:rsid w:val="00A80D66"/>
    <w:rsid w:val="00A844F0"/>
    <w:rsid w:val="00A86084"/>
    <w:rsid w:val="00A8706F"/>
    <w:rsid w:val="00A90E05"/>
    <w:rsid w:val="00AA193D"/>
    <w:rsid w:val="00AA6685"/>
    <w:rsid w:val="00AA668F"/>
    <w:rsid w:val="00AC5E27"/>
    <w:rsid w:val="00AD39A1"/>
    <w:rsid w:val="00AE21DF"/>
    <w:rsid w:val="00AE459D"/>
    <w:rsid w:val="00B0365F"/>
    <w:rsid w:val="00B11EF2"/>
    <w:rsid w:val="00B13107"/>
    <w:rsid w:val="00B24901"/>
    <w:rsid w:val="00B35D64"/>
    <w:rsid w:val="00B37820"/>
    <w:rsid w:val="00B65FDE"/>
    <w:rsid w:val="00B66C97"/>
    <w:rsid w:val="00B70B0F"/>
    <w:rsid w:val="00B92C0A"/>
    <w:rsid w:val="00B94C10"/>
    <w:rsid w:val="00B95768"/>
    <w:rsid w:val="00B96D02"/>
    <w:rsid w:val="00B96D9A"/>
    <w:rsid w:val="00BA28D9"/>
    <w:rsid w:val="00BA370E"/>
    <w:rsid w:val="00BA59C0"/>
    <w:rsid w:val="00BB08D1"/>
    <w:rsid w:val="00BD5FEE"/>
    <w:rsid w:val="00BF47ED"/>
    <w:rsid w:val="00BF4D76"/>
    <w:rsid w:val="00BF7C13"/>
    <w:rsid w:val="00C00C29"/>
    <w:rsid w:val="00C064AA"/>
    <w:rsid w:val="00C121B0"/>
    <w:rsid w:val="00C4273D"/>
    <w:rsid w:val="00C43A70"/>
    <w:rsid w:val="00C43ABA"/>
    <w:rsid w:val="00C44ECE"/>
    <w:rsid w:val="00C545F6"/>
    <w:rsid w:val="00C62174"/>
    <w:rsid w:val="00C6583B"/>
    <w:rsid w:val="00C675A5"/>
    <w:rsid w:val="00C92DE5"/>
    <w:rsid w:val="00C9336B"/>
    <w:rsid w:val="00CA1398"/>
    <w:rsid w:val="00CA4F13"/>
    <w:rsid w:val="00CA7412"/>
    <w:rsid w:val="00CB33FC"/>
    <w:rsid w:val="00CC74B5"/>
    <w:rsid w:val="00CD25C1"/>
    <w:rsid w:val="00CD4894"/>
    <w:rsid w:val="00CD6F5E"/>
    <w:rsid w:val="00CE0E43"/>
    <w:rsid w:val="00CF24E5"/>
    <w:rsid w:val="00D02EAD"/>
    <w:rsid w:val="00D06BF6"/>
    <w:rsid w:val="00D225D1"/>
    <w:rsid w:val="00D235CA"/>
    <w:rsid w:val="00D24F6C"/>
    <w:rsid w:val="00D27984"/>
    <w:rsid w:val="00D362A2"/>
    <w:rsid w:val="00D41F18"/>
    <w:rsid w:val="00D47520"/>
    <w:rsid w:val="00D6461A"/>
    <w:rsid w:val="00D80B19"/>
    <w:rsid w:val="00D8566E"/>
    <w:rsid w:val="00DA56A6"/>
    <w:rsid w:val="00DC14E5"/>
    <w:rsid w:val="00DE3153"/>
    <w:rsid w:val="00DE4E2D"/>
    <w:rsid w:val="00DE731A"/>
    <w:rsid w:val="00DF01C0"/>
    <w:rsid w:val="00DF631C"/>
    <w:rsid w:val="00E20990"/>
    <w:rsid w:val="00E37D20"/>
    <w:rsid w:val="00E44D73"/>
    <w:rsid w:val="00E514C7"/>
    <w:rsid w:val="00E56420"/>
    <w:rsid w:val="00E677AD"/>
    <w:rsid w:val="00E943B1"/>
    <w:rsid w:val="00EA7999"/>
    <w:rsid w:val="00EB1E42"/>
    <w:rsid w:val="00EC6556"/>
    <w:rsid w:val="00ED399B"/>
    <w:rsid w:val="00ED572A"/>
    <w:rsid w:val="00ED61FD"/>
    <w:rsid w:val="00EE02BD"/>
    <w:rsid w:val="00EE2DF9"/>
    <w:rsid w:val="00EE49F4"/>
    <w:rsid w:val="00F21560"/>
    <w:rsid w:val="00F24B7A"/>
    <w:rsid w:val="00F25F96"/>
    <w:rsid w:val="00F327BC"/>
    <w:rsid w:val="00F43EB0"/>
    <w:rsid w:val="00F60397"/>
    <w:rsid w:val="00F636CE"/>
    <w:rsid w:val="00F67773"/>
    <w:rsid w:val="00F67EB6"/>
    <w:rsid w:val="00F86BA1"/>
    <w:rsid w:val="00F92274"/>
    <w:rsid w:val="00F934E6"/>
    <w:rsid w:val="00F9649C"/>
    <w:rsid w:val="00FA7428"/>
    <w:rsid w:val="00FB5406"/>
    <w:rsid w:val="00FE2CC9"/>
    <w:rsid w:val="00FE7C18"/>
    <w:rsid w:val="00FF0C2C"/>
    <w:rsid w:val="062250B0"/>
    <w:rsid w:val="077310CE"/>
    <w:rsid w:val="08026160"/>
    <w:rsid w:val="0A9F13F9"/>
    <w:rsid w:val="0F0224E9"/>
    <w:rsid w:val="0FF04A6D"/>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t>
        <a:bodyPr/>
        <a:p>
          <a:endParaRPr lang="zh-CN" altLang="en-US"/>
        </a:p>
      </dgm:t>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t>
        <a:bodyPr/>
        <a:p>
          <a:endParaRPr lang="zh-CN" altLang="en-US"/>
        </a:p>
      </dgm:t>
    </dgm:pt>
    <dgm:pt modelId="{84B39EA7-D7C0-4BC3-9BEE-6832C472550B}" type="pres">
      <dgm:prSet presAssocID="{813AC152-3C7D-4D4F-9E5E-E7A99EB3DD19}" presName="quadrant2" presStyleLbl="node1" presStyleIdx="1" presStyleCnt="4">
        <dgm:presLayoutVars>
          <dgm:chMax val="1"/>
          <dgm:bulletEnabled val="1"/>
        </dgm:presLayoutVars>
      </dgm:prSet>
      <dgm:spPr/>
      <dgm:t>
        <a:bodyPr/>
        <a:p>
          <a:endParaRPr lang="zh-CN" altLang="en-US"/>
        </a:p>
      </dgm:t>
    </dgm:pt>
    <dgm:pt modelId="{ADFED097-EC27-43ED-A4E4-7FEA02293CE0}" type="pres">
      <dgm:prSet presAssocID="{813AC152-3C7D-4D4F-9E5E-E7A99EB3DD19}" presName="quadrant3" presStyleLbl="node1" presStyleIdx="2" presStyleCnt="4">
        <dgm:presLayoutVars>
          <dgm:chMax val="1"/>
          <dgm:bulletEnabled val="1"/>
        </dgm:presLayoutVars>
      </dgm:prSet>
      <dgm:spPr/>
      <dgm:t>
        <a:bodyPr/>
        <a:p>
          <a:endParaRPr lang="zh-CN" altLang="en-US"/>
        </a:p>
      </dgm:t>
    </dgm:pt>
    <dgm:pt modelId="{F7DEB02F-6443-4040-AE05-082B65F49B17}" type="pres">
      <dgm:prSet presAssocID="{813AC152-3C7D-4D4F-9E5E-E7A99EB3DD19}" presName="quadrant4" presStyleLbl="node1" presStyleIdx="3" presStyleCnt="4">
        <dgm:presLayoutVars>
          <dgm:chMax val="1"/>
          <dgm:bulletEnabled val="1"/>
        </dgm:presLayoutVars>
      </dgm:prSet>
      <dgm:spPr/>
      <dgm:t>
        <a:bodyPr/>
        <a:p>
          <a:endParaRPr lang="zh-CN" altLang="en-US"/>
        </a:p>
      </dgm:t>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Lst>
  <dgm:cxnLst>
    <dgm:cxn modelId="{651BE09F-2BD5-4145-892A-8336CC08A362}" type="presOf" srcId="{813AC152-3C7D-4D4F-9E5E-E7A99EB3DD19}" destId="{7B87A85B-FA47-4A6C-816E-B3C8A7C9F36B}"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678C8E86-64A8-40ED-97A5-5917DFE36752}" type="presOf" srcId="{DA35DD30-1281-4820-9C37-B7E7BC873A61}" destId="{ADFED097-EC27-43ED-A4E4-7FEA02293CE0}" srcOrd="0" destOrd="0" presId="urn:microsoft.com/office/officeart/2005/8/layout/cycle4#1"/>
    <dgm:cxn modelId="{89F58004-FBA0-4B29-95E6-7A7B262CA546}" type="presOf" srcId="{07E133BF-8C42-4469-BEDE-8879B1C45B2D}" destId="{F7DEB02F-6443-4040-AE05-082B65F49B17}" srcOrd="0" destOrd="0" presId="urn:microsoft.com/office/officeart/2005/8/layout/cycle4#1"/>
    <dgm:cxn modelId="{670A6CF8-C5C9-4D44-927E-BC38AF366574}" srcId="{813AC152-3C7D-4D4F-9E5E-E7A99EB3DD19}" destId="{D29B268D-41E0-4CD5-99CB-D4C39DED4EEF}" srcOrd="0" destOrd="0" parTransId="{9A2F04C2-F41E-4D40-A03F-3354C2A925CE}" sibTransId="{2F09B43A-DE41-43C0-BB59-D5803CC97EA6}"/>
    <dgm:cxn modelId="{9C35ADA6-8CA5-45D5-B236-9C4867CCE21B}" srcId="{813AC152-3C7D-4D4F-9E5E-E7A99EB3DD19}" destId="{261F5CD7-0B83-4DF0-841C-5F05B543CD85}" srcOrd="1" destOrd="0" parTransId="{BB771AB2-3876-4704-AB7B-4060CE4B2BAF}" sibTransId="{BAC677D4-2F93-466E-AD0F-3D401ECC2F26}"/>
    <dgm:cxn modelId="{D03D445A-07C8-446F-8F15-2037CE2F9E94}" srcId="{813AC152-3C7D-4D4F-9E5E-E7A99EB3DD19}" destId="{07E133BF-8C42-4469-BEDE-8879B1C45B2D}" srcOrd="3" destOrd="0" parTransId="{1BA7B244-7FFE-431D-A8DA-B3D15BE897DD}" sibTransId="{6655A37D-00F8-4E43-AFD9-951590A2BAED}"/>
    <dgm:cxn modelId="{E2B2A5DB-D09A-47F1-B218-A0E6DB6A6AB6}" srcId="{813AC152-3C7D-4D4F-9E5E-E7A99EB3DD19}" destId="{DA35DD30-1281-4820-9C37-B7E7BC873A61}" srcOrd="2" destOrd="0" parTransId="{6279CE70-DC04-4CAB-AB69-6AE2BBC232EE}" sibTransId="{6531986E-C3E0-4C1C-8B2C-4D6CFD1C837B}"/>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249625" cy="3268943"/>
        <a:chOff x="0" y="0"/>
        <a:chExt cx="4249625" cy="3268943"/>
      </a:xfrm>
    </dsp:grpSpPr>
    <dsp:sp modelId="{A20FF1EF-1C94-462A-B135-995E135CF349}">
      <dsp:nvSpPr>
        <dsp:cNvPr id="3" name="饼形 2"/>
        <dsp:cNvSpPr/>
      </dsp:nvSpPr>
      <dsp:spPr bwMode="white">
        <a:xfrm>
          <a:off x="1017981" y="186330"/>
          <a:ext cx="1415452" cy="1415452"/>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1017981" y="186330"/>
        <a:ext cx="1415452" cy="1415452"/>
      </dsp:txXfrm>
    </dsp:sp>
    <dsp:sp modelId="{84B39EA7-D7C0-4BC3-9BEE-6832C472550B}">
      <dsp:nvSpPr>
        <dsp:cNvPr id="4" name="饼形 3"/>
        <dsp:cNvSpPr/>
      </dsp:nvSpPr>
      <dsp:spPr bwMode="white">
        <a:xfrm rot="5400000">
          <a:off x="2498812" y="186330"/>
          <a:ext cx="1415452" cy="1415452"/>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3300000"/>
            <a:satOff val="13333"/>
            <a:lumOff val="2876"/>
            <a:alpha val="100000"/>
          </a:schemeClr>
        </a:fillRef>
        <a:effectRef idx="0">
          <a:scrgbClr r="0" g="0" b="0"/>
        </a:effectRef>
        <a:fontRef idx="minor">
          <a:schemeClr val="lt1"/>
        </a:fontRef>
      </dsp:style>
      <dsp:txBody>
        <a:bodyPr rot="-54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498812" y="186330"/>
        <a:ext cx="1415452" cy="1415452"/>
      </dsp:txXfrm>
    </dsp:sp>
    <dsp:sp modelId="{ADFED097-EC27-43ED-A4E4-7FEA02293CE0}">
      <dsp:nvSpPr>
        <dsp:cNvPr id="5" name="饼形 4"/>
        <dsp:cNvSpPr/>
      </dsp:nvSpPr>
      <dsp:spPr bwMode="white">
        <a:xfrm rot="10800000">
          <a:off x="2498812" y="1667161"/>
          <a:ext cx="1415452" cy="1415452"/>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6600000"/>
            <a:satOff val="26667"/>
            <a:lumOff val="5752"/>
            <a:alpha val="100000"/>
          </a:schemeClr>
        </a:fillRef>
        <a:effectRef idx="0">
          <a:scrgbClr r="0" g="0" b="0"/>
        </a:effectRef>
        <a:fontRef idx="minor">
          <a:schemeClr val="lt1"/>
        </a:fontRef>
      </dsp:style>
      <dsp:txBody>
        <a:bodyPr rot="108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498812" y="1667161"/>
        <a:ext cx="1415452" cy="1415452"/>
      </dsp:txXfrm>
    </dsp:sp>
    <dsp:sp modelId="{F7DEB02F-6443-4040-AE05-082B65F49B17}">
      <dsp:nvSpPr>
        <dsp:cNvPr id="6" name="饼形 5"/>
        <dsp:cNvSpPr/>
      </dsp:nvSpPr>
      <dsp:spPr bwMode="white">
        <a:xfrm rot="16200000">
          <a:off x="1017981" y="1667161"/>
          <a:ext cx="1415452" cy="1415452"/>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9900000"/>
            <a:satOff val="40000"/>
            <a:lumOff val="8627"/>
            <a:alpha val="100000"/>
          </a:schemeClr>
        </a:fillRef>
        <a:effectRef idx="0">
          <a:scrgbClr r="0" g="0" b="0"/>
        </a:effectRef>
        <a:fontRef idx="minor">
          <a:schemeClr val="lt1"/>
        </a:fontRef>
      </dsp:style>
      <dsp:txBody>
        <a:bodyPr rot="5400000" lIns="241808" tIns="241808" rIns="241808" bIns="241808" anchor="ctr"/>
        <a:lstStyle>
          <a:lvl1pPr algn="ctr">
            <a:defRPr sz="3400"/>
          </a:lvl1pPr>
          <a:lvl2pPr marL="228600" indent="-228600" algn="ctr">
            <a:defRPr sz="2600"/>
          </a:lvl2pPr>
          <a:lvl3pPr marL="457200" indent="-228600" algn="ctr">
            <a:defRPr sz="2600"/>
          </a:lvl3pPr>
          <a:lvl4pPr marL="685800" indent="-228600" algn="ctr">
            <a:defRPr sz="2600"/>
          </a:lvl4pPr>
          <a:lvl5pPr marL="914400" indent="-228600" algn="ctr">
            <a:defRPr sz="2600"/>
          </a:lvl5pPr>
          <a:lvl6pPr marL="1143000" indent="-228600" algn="ctr">
            <a:defRPr sz="2600"/>
          </a:lvl6pPr>
          <a:lvl7pPr marL="1371600" indent="-228600" algn="ctr">
            <a:defRPr sz="2600"/>
          </a:lvl7pPr>
          <a:lvl8pPr marL="1600200" indent="-228600" algn="ctr">
            <a:defRPr sz="2600"/>
          </a:lvl8pPr>
          <a:lvl9pPr marL="1828800" indent="-228600" algn="ctr">
            <a:defRPr sz="26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1017981" y="1667161"/>
        <a:ext cx="1415452" cy="1415452"/>
      </dsp:txXfrm>
    </dsp:sp>
    <dsp:sp modelId="{D009AC8D-DFA5-4F6F-ADB3-07FB2C493FDD}">
      <dsp:nvSpPr>
        <dsp:cNvPr id="7" name="环形箭头 6"/>
        <dsp:cNvSpPr/>
      </dsp:nvSpPr>
      <dsp:spPr bwMode="white">
        <a:xfrm>
          <a:off x="2221770" y="1340266"/>
          <a:ext cx="488707" cy="42496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21770" y="1340266"/>
        <a:ext cx="488707" cy="424963"/>
      </dsp:txXfrm>
    </dsp:sp>
    <dsp:sp modelId="{0089F3A9-8C9C-4378-9448-F0832ED2419A}">
      <dsp:nvSpPr>
        <dsp:cNvPr id="8" name="环形箭头 7"/>
        <dsp:cNvSpPr/>
      </dsp:nvSpPr>
      <dsp:spPr bwMode="white">
        <a:xfrm rot="10800000">
          <a:off x="2221770" y="1503714"/>
          <a:ext cx="488707" cy="42496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21770" y="1503714"/>
        <a:ext cx="488707" cy="424963"/>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7013</Words>
  <Characters>7039</Characters>
  <Lines>51</Lines>
  <Paragraphs>14</Paragraphs>
  <TotalTime>0</TotalTime>
  <ScaleCrop>false</ScaleCrop>
  <LinksUpToDate>false</LinksUpToDate>
  <CharactersWithSpaces>7078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2017-04-18T06:25:00Z</dcterms:created>
  <dc:creator>微软中国</dc:creator>
  <cp:lastModifiedBy>蓉儿</cp:lastModifiedBy>
  <dcterms:modified xsi:type="dcterms:W3CDTF">2023-01-04T08:24:23Z</dcterms:modified>
  <dc:title>在当前房地产行业中，设计管理一直是各地产公司管理的焦点和难点</dc:title>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E2C9154016FC4051B4AE64874759FADB</vt:lpwstr>
  </property>
</Properties>
</file>