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center"/>
        <w:rPr>
          <w:rFonts w:hint="eastAsia" w:ascii="微软雅黑" w:hAnsi="微软雅黑" w:eastAsia="微软雅黑" w:cs="微软雅黑"/>
          <w:b/>
          <w:bCs/>
          <w:sz w:val="24"/>
        </w:rPr>
      </w:pPr>
      <w:bookmarkStart w:id="11" w:name="_GoBack"/>
      <w:bookmarkEnd w:id="11"/>
      <w:r>
        <w:rPr>
          <w:rFonts w:hint="eastAsia" w:ascii="微软雅黑" w:hAnsi="微软雅黑" w:eastAsia="微软雅黑" w:cs="微软雅黑"/>
          <w:b/>
          <w:bCs/>
          <w:sz w:val="24"/>
        </w:rPr>
        <w:t>标杆房企新技术新工艺新材料及技术管理创新要点及实战案例</w:t>
      </w:r>
    </w:p>
    <w:p>
      <w:pPr>
        <w:spacing w:line="440" w:lineRule="exact"/>
        <w:rPr>
          <w:rFonts w:ascii="微软雅黑" w:hAnsi="微软雅黑" w:eastAsia="微软雅黑"/>
          <w:b/>
          <w:color w:val="FFFFFF"/>
          <w:sz w:val="24"/>
          <w:highlight w:val="black"/>
        </w:rPr>
      </w:pPr>
      <w:bookmarkStart w:id="0" w:name="_Hlk106712323"/>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【课程背景】</w:t>
      </w:r>
      <w:bookmarkEnd w:id="0"/>
    </w:p>
    <w:p>
      <w:pPr>
        <w:spacing w:line="480" w:lineRule="exact"/>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在当前房地产行业中，技术管理创新一直是各地产公司重点推崇的新卖点和价值增长点。面对层出不穷而又自相矛盾的新技术、新工艺和新材料、错误百出的图纸、居高不下的成本、粗制滥造的供应商、挑剔的客户、肆虐全球的新冠疫情，如何既要兼顾客户日益增长的对精装修材料选型和施工工艺的品质追求，又要满足政府对住宅产业化中P</w:t>
      </w:r>
      <w:r>
        <w:rPr>
          <w:rFonts w:ascii="微软雅黑" w:hAnsi="微软雅黑" w:eastAsia="微软雅黑" w:cs="微软雅黑"/>
          <w:sz w:val="24"/>
        </w:rPr>
        <w:t>C</w:t>
      </w:r>
      <w:r>
        <w:rPr>
          <w:rFonts w:hint="eastAsia" w:ascii="微软雅黑" w:hAnsi="微软雅黑" w:eastAsia="微软雅黑" w:cs="微软雅黑"/>
          <w:sz w:val="24"/>
        </w:rPr>
        <w:t>率的刚需要求，还要满足超低能耗建筑新技术的体系化引进和项目落地，仍要满足企业对项目持续不断精益化工程管理，降本增效的成本把控要求，工程管理专业需要充分掌握各种新技术新工艺新材料的技术和管理创新要点，是摆在我们地产项目工程管理人员面前的全新挑战。</w:t>
      </w:r>
    </w:p>
    <w:p>
      <w:pPr>
        <w:spacing w:line="480" w:lineRule="exact"/>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本次课程根据专家2</w:t>
      </w:r>
      <w:r>
        <w:rPr>
          <w:rFonts w:ascii="微软雅黑" w:hAnsi="微软雅黑" w:eastAsia="微软雅黑" w:cs="微软雅黑"/>
          <w:sz w:val="24"/>
        </w:rPr>
        <w:t>3</w:t>
      </w:r>
      <w:r>
        <w:rPr>
          <w:rFonts w:hint="eastAsia" w:ascii="微软雅黑" w:hAnsi="微软雅黑" w:eastAsia="微软雅黑" w:cs="微软雅黑"/>
          <w:sz w:val="24"/>
        </w:rPr>
        <w:t>年的工作经历及经验（10年中建系统工作经历、1</w:t>
      </w:r>
      <w:r>
        <w:rPr>
          <w:rFonts w:ascii="微软雅黑" w:hAnsi="微软雅黑" w:eastAsia="微软雅黑" w:cs="微软雅黑"/>
          <w:sz w:val="24"/>
        </w:rPr>
        <w:t>3</w:t>
      </w:r>
      <w:r>
        <w:rPr>
          <w:rFonts w:hint="eastAsia" w:ascii="微软雅黑" w:hAnsi="微软雅黑" w:eastAsia="微软雅黑" w:cs="微软雅黑"/>
          <w:sz w:val="24"/>
        </w:rPr>
        <w:t>年地产企业管理经历），结合清华大学工程制造业精细化及流程化的管理方法，通过对100多个与工程管理有关的实际操作案例进行情景解剖，导出能够适合大多数地产企业确保工程进度前提下大幅提升产品品质的管理思路和技巧，以及切实落地的手段及措施。</w:t>
      </w:r>
    </w:p>
    <w:p>
      <w:pPr>
        <w:spacing w:line="480" w:lineRule="exact"/>
        <w:ind w:firstLine="480" w:firstLineChars="200"/>
        <w:rPr>
          <w:rFonts w:hint="eastAsia" w:ascii="微软雅黑" w:hAnsi="微软雅黑" w:eastAsia="微软雅黑" w:cs="微软雅黑"/>
          <w:color w:val="FF0000"/>
          <w:sz w:val="24"/>
        </w:rPr>
      </w:pPr>
      <w:r>
        <w:rPr>
          <w:rFonts w:hint="eastAsia" w:ascii="微软雅黑" w:hAnsi="微软雅黑" w:eastAsia="微软雅黑" w:cs="微软雅黑"/>
          <w:sz w:val="24"/>
        </w:rPr>
        <w:t>本次课程特点是将标杆地产企业工程管理的实战经验与清华大学制造业经典管理理论密切结合，实操案例多、启发性强，同时可与学员有较多的深度互动，通过互动交流来进一步梳理学员的管理思路及实战操作。</w:t>
      </w:r>
    </w:p>
    <w:p>
      <w:pPr>
        <w:spacing w:line="440" w:lineRule="exact"/>
        <w:rPr>
          <w:rFonts w:ascii="微软雅黑" w:hAnsi="微软雅黑" w:eastAsia="微软雅黑"/>
          <w:b/>
          <w:color w:val="FFFFFF"/>
          <w:sz w:val="24"/>
          <w:highlight w:val="black"/>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【课程收益】</w:t>
      </w:r>
    </w:p>
    <w:p>
      <w:pPr>
        <w:numPr>
          <w:ilvl w:val="0"/>
          <w:numId w:val="1"/>
        </w:numPr>
        <w:spacing w:line="480" w:lineRule="exact"/>
        <w:rPr>
          <w:rFonts w:ascii="微软雅黑" w:hAnsi="微软雅黑" w:eastAsia="微软雅黑" w:cs="微软雅黑"/>
          <w:sz w:val="24"/>
        </w:rPr>
      </w:pPr>
      <w:r>
        <w:rPr>
          <w:rFonts w:hint="eastAsia" w:ascii="微软雅黑" w:hAnsi="微软雅黑" w:eastAsia="微软雅黑" w:cs="微软雅黑"/>
          <w:sz w:val="24"/>
        </w:rPr>
        <w:t>理解掌握精益化工程管理要求，持续实现项目施工管理降本增效的要求；</w:t>
      </w:r>
    </w:p>
    <w:p>
      <w:pPr>
        <w:numPr>
          <w:ilvl w:val="0"/>
          <w:numId w:val="1"/>
        </w:numPr>
        <w:spacing w:line="480" w:lineRule="exact"/>
        <w:rPr>
          <w:rFonts w:ascii="微软雅黑" w:hAnsi="微软雅黑" w:eastAsia="微软雅黑" w:cs="微软雅黑"/>
          <w:sz w:val="24"/>
        </w:rPr>
      </w:pPr>
      <w:r>
        <w:rPr>
          <w:rFonts w:hint="eastAsia" w:ascii="微软雅黑" w:hAnsi="微软雅黑" w:eastAsia="微软雅黑" w:cs="微软雅黑"/>
          <w:sz w:val="24"/>
        </w:rPr>
        <w:t>理解掌握P</w:t>
      </w:r>
      <w:r>
        <w:rPr>
          <w:rFonts w:ascii="微软雅黑" w:hAnsi="微软雅黑" w:eastAsia="微软雅黑" w:cs="微软雅黑"/>
          <w:sz w:val="24"/>
        </w:rPr>
        <w:t>C</w:t>
      </w:r>
      <w:r>
        <w:rPr>
          <w:rFonts w:hint="eastAsia" w:ascii="微软雅黑" w:hAnsi="微软雅黑" w:eastAsia="微软雅黑" w:cs="微软雅黑"/>
          <w:sz w:val="24"/>
        </w:rPr>
        <w:t>建筑外墙防渗漏节点构造做法，确保建筑外墙实现7</w:t>
      </w:r>
      <w:r>
        <w:rPr>
          <w:rFonts w:ascii="微软雅黑" w:hAnsi="微软雅黑" w:eastAsia="微软雅黑" w:cs="微软雅黑"/>
          <w:sz w:val="24"/>
        </w:rPr>
        <w:t>0</w:t>
      </w:r>
      <w:r>
        <w:rPr>
          <w:rFonts w:hint="eastAsia" w:ascii="微软雅黑" w:hAnsi="微软雅黑" w:eastAsia="微软雅黑" w:cs="微软雅黑"/>
          <w:sz w:val="24"/>
        </w:rPr>
        <w:t>年零渗漏目标；</w:t>
      </w:r>
    </w:p>
    <w:p>
      <w:pPr>
        <w:numPr>
          <w:ilvl w:val="0"/>
          <w:numId w:val="1"/>
        </w:numPr>
        <w:spacing w:line="480" w:lineRule="exact"/>
        <w:rPr>
          <w:rFonts w:hint="eastAsia" w:ascii="微软雅黑" w:hAnsi="微软雅黑" w:eastAsia="微软雅黑" w:cs="微软雅黑"/>
          <w:sz w:val="24"/>
        </w:rPr>
      </w:pPr>
      <w:r>
        <w:rPr>
          <w:rFonts w:hint="eastAsia" w:ascii="微软雅黑" w:hAnsi="微软雅黑" w:eastAsia="微软雅黑" w:cs="微软雅黑"/>
          <w:sz w:val="24"/>
        </w:rPr>
        <w:t>理解掌握建筑超低能耗建筑技术创新（设计、施工），实现成本不发生重大变化前提下的超低能耗建筑构造做法落地；</w:t>
      </w:r>
    </w:p>
    <w:p>
      <w:pPr>
        <w:spacing w:line="480" w:lineRule="exact"/>
        <w:ind w:firstLine="480" w:firstLineChars="200"/>
        <w:rPr>
          <w:rFonts w:hint="eastAsia" w:ascii="微软雅黑" w:hAnsi="微软雅黑" w:eastAsia="微软雅黑" w:cs="微软雅黑"/>
          <w:sz w:val="24"/>
        </w:rPr>
      </w:pPr>
    </w:p>
    <w:p>
      <w:pPr>
        <w:spacing w:line="440" w:lineRule="exact"/>
        <w:rPr>
          <w:rFonts w:ascii="微软雅黑" w:hAnsi="微软雅黑" w:eastAsia="微软雅黑"/>
          <w:b/>
          <w:color w:val="FFFFFF"/>
          <w:sz w:val="24"/>
          <w:highlight w:val="black"/>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【课程对象】</w:t>
      </w:r>
    </w:p>
    <w:p>
      <w:pPr>
        <w:spacing w:line="480" w:lineRule="exact"/>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房地产企业董事长、总经理、总工、集团分管副总、项目总经理、部门经理等。</w:t>
      </w:r>
    </w:p>
    <w:p>
      <w:pPr>
        <w:spacing w:line="440" w:lineRule="exact"/>
        <w:rPr>
          <w:rFonts w:hint="eastAsia" w:ascii="微软雅黑" w:hAnsi="微软雅黑" w:eastAsia="微软雅黑" w:cs="微软雅黑"/>
          <w:b/>
          <w:bCs/>
          <w:color w:val="FF0000"/>
          <w:sz w:val="24"/>
        </w:rPr>
      </w:pPr>
    </w:p>
    <w:p>
      <w:pPr>
        <w:spacing w:line="440" w:lineRule="exact"/>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【课程大纲】</w:t>
      </w:r>
    </w:p>
    <w:p>
      <w:pPr>
        <w:spacing w:line="480" w:lineRule="exact"/>
        <w:rPr>
          <w:rFonts w:ascii="微软雅黑" w:hAnsi="微软雅黑" w:eastAsia="微软雅黑" w:cs="微软雅黑"/>
          <w:b/>
          <w:color w:val="FF9900"/>
          <w:sz w:val="24"/>
        </w:rPr>
      </w:pPr>
      <w:r>
        <w:rPr>
          <w:rFonts w:hint="eastAsia" w:ascii="微软雅黑" w:hAnsi="微软雅黑" w:eastAsia="微软雅黑" w:cs="微软雅黑"/>
          <w:b/>
          <w:color w:val="FF0000"/>
          <w:sz w:val="24"/>
        </w:rPr>
        <w:t>第一部分：现场管理问题的现状和困惑及精益管理之道</w:t>
      </w:r>
    </w:p>
    <w:p>
      <w:pPr>
        <w:numPr>
          <w:ilvl w:val="1"/>
          <w:numId w:val="2"/>
        </w:numPr>
        <w:ind w:left="851" w:firstLine="0"/>
        <w:rPr>
          <w:rFonts w:ascii="微软雅黑" w:hAnsi="微软雅黑" w:eastAsia="微软雅黑"/>
          <w:b/>
          <w:sz w:val="24"/>
        </w:rPr>
      </w:pPr>
      <w:r>
        <w:rPr>
          <w:rFonts w:hint="eastAsia" w:ascii="微软雅黑" w:hAnsi="微软雅黑" w:eastAsia="微软雅黑"/>
          <w:b/>
          <w:sz w:val="24"/>
        </w:rPr>
        <w:t>精益管理的本质；什么是管理？什么是精益？</w:t>
      </w:r>
    </w:p>
    <w:p>
      <w:pPr>
        <w:numPr>
          <w:ilvl w:val="1"/>
          <w:numId w:val="2"/>
        </w:numPr>
        <w:ind w:left="851" w:firstLine="0"/>
        <w:rPr>
          <w:rFonts w:ascii="微软雅黑" w:hAnsi="微软雅黑" w:eastAsia="微软雅黑"/>
          <w:b/>
          <w:sz w:val="24"/>
        </w:rPr>
      </w:pPr>
      <w:r>
        <w:rPr>
          <w:rFonts w:hint="eastAsia" w:ascii="微软雅黑" w:hAnsi="微软雅黑" w:eastAsia="微软雅黑"/>
          <w:b/>
          <w:sz w:val="24"/>
        </w:rPr>
        <w:t>话题：我们在现场经常面对的管理六大维度；</w:t>
      </w:r>
    </w:p>
    <w:p>
      <w:pPr>
        <w:numPr>
          <w:ilvl w:val="1"/>
          <w:numId w:val="2"/>
        </w:numPr>
        <w:ind w:left="851" w:firstLine="0"/>
        <w:rPr>
          <w:rFonts w:ascii="微软雅黑" w:hAnsi="微软雅黑" w:eastAsia="微软雅黑"/>
          <w:b/>
          <w:sz w:val="24"/>
        </w:rPr>
      </w:pPr>
      <w:r>
        <w:rPr>
          <w:rFonts w:hint="eastAsia" w:ascii="微软雅黑" w:hAnsi="微软雅黑" w:eastAsia="微软雅黑"/>
          <w:b/>
          <w:sz w:val="24"/>
        </w:rPr>
        <w:t>讨论：因项目管理原因导致的现场常见6个浪费/客诉问题；</w:t>
      </w:r>
    </w:p>
    <w:p>
      <w:pPr>
        <w:numPr>
          <w:ilvl w:val="1"/>
          <w:numId w:val="2"/>
        </w:numPr>
        <w:ind w:left="851" w:firstLine="0"/>
        <w:rPr>
          <w:rFonts w:ascii="微软雅黑" w:hAnsi="微软雅黑" w:eastAsia="微软雅黑"/>
          <w:b/>
          <w:sz w:val="24"/>
        </w:rPr>
      </w:pPr>
      <w:r>
        <w:rPr>
          <w:rFonts w:hint="eastAsia" w:ascii="微软雅黑" w:hAnsi="微软雅黑" w:eastAsia="微软雅黑"/>
          <w:b/>
          <w:sz w:val="24"/>
        </w:rPr>
        <w:t>精益管理之道：六零——零浪费/零库存/零缺陷/零窝工</w:t>
      </w:r>
      <w:r>
        <w:rPr>
          <w:rFonts w:ascii="微软雅黑" w:hAnsi="微软雅黑" w:eastAsia="微软雅黑"/>
          <w:b/>
          <w:sz w:val="24"/>
        </w:rPr>
        <w:t>/</w:t>
      </w:r>
      <w:r>
        <w:rPr>
          <w:rFonts w:hint="eastAsia" w:ascii="微软雅黑" w:hAnsi="微软雅黑" w:eastAsia="微软雅黑"/>
          <w:b/>
          <w:sz w:val="24"/>
        </w:rPr>
        <w:t>零返修</w:t>
      </w:r>
      <w:r>
        <w:rPr>
          <w:rFonts w:ascii="微软雅黑" w:hAnsi="微软雅黑" w:eastAsia="微软雅黑"/>
          <w:b/>
          <w:sz w:val="24"/>
        </w:rPr>
        <w:t>/</w:t>
      </w:r>
      <w:r>
        <w:rPr>
          <w:rFonts w:hint="eastAsia" w:ascii="微软雅黑" w:hAnsi="微软雅黑" w:eastAsia="微软雅黑"/>
          <w:b/>
          <w:sz w:val="24"/>
        </w:rPr>
        <w:t>零事故；核心要点：全周期/大流水</w:t>
      </w:r>
      <w:r>
        <w:rPr>
          <w:rFonts w:ascii="微软雅黑" w:hAnsi="微软雅黑" w:eastAsia="微软雅黑"/>
          <w:b/>
          <w:sz w:val="24"/>
        </w:rPr>
        <w:t>/</w:t>
      </w:r>
      <w:r>
        <w:rPr>
          <w:rFonts w:hint="eastAsia" w:ascii="微软雅黑" w:hAnsi="微软雅黑" w:eastAsia="微软雅黑"/>
          <w:b/>
          <w:sz w:val="24"/>
        </w:rPr>
        <w:t>小流水</w:t>
      </w:r>
      <w:r>
        <w:rPr>
          <w:rFonts w:ascii="微软雅黑" w:hAnsi="微软雅黑" w:eastAsia="微软雅黑"/>
          <w:b/>
          <w:sz w:val="24"/>
        </w:rPr>
        <w:t>/</w:t>
      </w:r>
      <w:r>
        <w:rPr>
          <w:rFonts w:hint="eastAsia" w:ascii="微软雅黑" w:hAnsi="微软雅黑" w:eastAsia="微软雅黑"/>
          <w:b/>
          <w:sz w:val="24"/>
        </w:rPr>
        <w:t>一次好</w:t>
      </w:r>
      <w:r>
        <w:rPr>
          <w:rFonts w:ascii="微软雅黑" w:hAnsi="微软雅黑" w:eastAsia="微软雅黑"/>
          <w:b/>
          <w:sz w:val="24"/>
        </w:rPr>
        <w:t>/</w:t>
      </w:r>
      <w:r>
        <w:rPr>
          <w:rFonts w:hint="eastAsia" w:ascii="微软雅黑" w:hAnsi="微软雅黑" w:eastAsia="微软雅黑"/>
          <w:b/>
          <w:sz w:val="24"/>
        </w:rPr>
        <w:t>易检性</w:t>
      </w:r>
      <w:r>
        <w:rPr>
          <w:rFonts w:ascii="微软雅黑" w:hAnsi="微软雅黑" w:eastAsia="微软雅黑"/>
          <w:b/>
          <w:sz w:val="24"/>
        </w:rPr>
        <w:t>/</w:t>
      </w:r>
      <w:r>
        <w:rPr>
          <w:rFonts w:hint="eastAsia" w:ascii="微软雅黑" w:hAnsi="微软雅黑" w:eastAsia="微软雅黑"/>
          <w:b/>
          <w:sz w:val="24"/>
        </w:rPr>
        <w:t>减工序；</w:t>
      </w:r>
    </w:p>
    <w:p>
      <w:pPr>
        <w:spacing w:line="48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第二部分：工程策划精益管理</w:t>
      </w:r>
    </w:p>
    <w:p>
      <w:pPr>
        <w:numPr>
          <w:ilvl w:val="0"/>
          <w:numId w:val="3"/>
        </w:numPr>
        <w:jc w:val="left"/>
        <w:rPr>
          <w:rFonts w:ascii="微软雅黑" w:hAnsi="微软雅黑" w:eastAsia="微软雅黑"/>
          <w:b/>
          <w:sz w:val="24"/>
        </w:rPr>
      </w:pPr>
      <w:r>
        <w:rPr>
          <w:rFonts w:hint="eastAsia" w:ascii="微软雅黑" w:hAnsi="微软雅黑" w:eastAsia="微软雅黑"/>
          <w:b/>
          <w:sz w:val="24"/>
        </w:rPr>
        <w:t>工程策划精益管理的目的；确认运营目标/预控总平精益</w:t>
      </w:r>
      <w:r>
        <w:rPr>
          <w:rFonts w:ascii="微软雅黑" w:hAnsi="微软雅黑" w:eastAsia="微软雅黑"/>
          <w:b/>
          <w:sz w:val="24"/>
        </w:rPr>
        <w:t>/</w:t>
      </w:r>
      <w:r>
        <w:rPr>
          <w:rFonts w:hint="eastAsia" w:ascii="微软雅黑" w:hAnsi="微软雅黑" w:eastAsia="微软雅黑"/>
          <w:b/>
          <w:sz w:val="24"/>
        </w:rPr>
        <w:t>协同大小流水</w:t>
      </w:r>
      <w:r>
        <w:rPr>
          <w:rFonts w:ascii="微软雅黑" w:hAnsi="微软雅黑" w:eastAsia="微软雅黑"/>
          <w:b/>
          <w:sz w:val="24"/>
        </w:rPr>
        <w:t>/</w:t>
      </w:r>
      <w:r>
        <w:rPr>
          <w:rFonts w:hint="eastAsia" w:ascii="微软雅黑" w:hAnsi="微软雅黑" w:eastAsia="微软雅黑"/>
          <w:b/>
          <w:sz w:val="24"/>
        </w:rPr>
        <w:t>优化标准工序</w:t>
      </w:r>
      <w:r>
        <w:rPr>
          <w:rFonts w:ascii="微软雅黑" w:hAnsi="微软雅黑" w:eastAsia="微软雅黑"/>
          <w:b/>
          <w:sz w:val="24"/>
        </w:rPr>
        <w:t>/</w:t>
      </w:r>
      <w:r>
        <w:rPr>
          <w:rFonts w:hint="eastAsia" w:ascii="微软雅黑" w:hAnsi="微软雅黑" w:eastAsia="微软雅黑"/>
          <w:b/>
          <w:sz w:val="24"/>
        </w:rPr>
        <w:t>规避项目浪费；</w:t>
      </w:r>
    </w:p>
    <w:p>
      <w:pPr>
        <w:numPr>
          <w:ilvl w:val="0"/>
          <w:numId w:val="3"/>
        </w:numPr>
        <w:jc w:val="left"/>
        <w:rPr>
          <w:rFonts w:ascii="微软雅黑" w:hAnsi="微软雅黑" w:eastAsia="微软雅黑"/>
          <w:b/>
          <w:sz w:val="24"/>
        </w:rPr>
      </w:pPr>
      <w:r>
        <w:rPr>
          <w:rFonts w:hint="eastAsia" w:ascii="微软雅黑" w:hAnsi="微软雅黑" w:eastAsia="微软雅黑"/>
          <w:b/>
          <w:sz w:val="24"/>
        </w:rPr>
        <w:t>零浪费——项目总平/大门围墙道路小市政/堆场通道塔吊</w:t>
      </w:r>
      <w:r>
        <w:rPr>
          <w:rFonts w:ascii="微软雅黑" w:hAnsi="微软雅黑" w:eastAsia="微软雅黑"/>
          <w:b/>
          <w:sz w:val="24"/>
        </w:rPr>
        <w:t>/</w:t>
      </w:r>
      <w:r>
        <w:rPr>
          <w:rFonts w:hint="eastAsia" w:ascii="微软雅黑" w:hAnsi="微软雅黑" w:eastAsia="微软雅黑"/>
          <w:b/>
          <w:sz w:val="24"/>
        </w:rPr>
        <w:t>后浇带/排水沟/</w:t>
      </w:r>
      <w:r>
        <w:rPr>
          <w:rFonts w:ascii="微软雅黑" w:hAnsi="微软雅黑" w:eastAsia="微软雅黑"/>
          <w:b/>
          <w:sz w:val="24"/>
        </w:rPr>
        <w:t>BIM</w:t>
      </w:r>
      <w:r>
        <w:rPr>
          <w:rFonts w:hint="eastAsia" w:ascii="微软雅黑" w:hAnsi="微软雅黑" w:eastAsia="微软雅黑"/>
          <w:b/>
          <w:sz w:val="24"/>
        </w:rPr>
        <w:t>施组全周期布置精益；</w:t>
      </w:r>
    </w:p>
    <w:p>
      <w:pPr>
        <w:numPr>
          <w:ilvl w:val="1"/>
          <w:numId w:val="3"/>
        </w:numPr>
        <w:ind w:left="1276" w:hanging="425"/>
        <w:jc w:val="left"/>
        <w:rPr>
          <w:rFonts w:ascii="微软雅黑" w:hAnsi="微软雅黑" w:eastAsia="微软雅黑"/>
          <w:b/>
          <w:sz w:val="24"/>
        </w:rPr>
      </w:pPr>
      <w:r>
        <w:rPr>
          <w:rFonts w:hint="eastAsia" w:ascii="微软雅黑" w:hAnsi="微软雅黑" w:eastAsia="微软雅黑"/>
          <w:b/>
          <w:sz w:val="24"/>
        </w:rPr>
        <w:t>例题：塔吊总平面施工组织方案精益优化案例分析；</w:t>
      </w:r>
    </w:p>
    <w:p>
      <w:pPr>
        <w:numPr>
          <w:ilvl w:val="0"/>
          <w:numId w:val="3"/>
        </w:numPr>
        <w:jc w:val="left"/>
        <w:rPr>
          <w:rFonts w:ascii="微软雅黑" w:hAnsi="微软雅黑" w:eastAsia="微软雅黑"/>
          <w:b/>
          <w:sz w:val="24"/>
        </w:rPr>
      </w:pPr>
      <w:r>
        <w:rPr>
          <w:rFonts w:hint="eastAsia" w:ascii="微软雅黑" w:hAnsi="微软雅黑" w:eastAsia="微软雅黑"/>
          <w:b/>
          <w:sz w:val="24"/>
        </w:rPr>
        <w:t>工程策划精益管理要点总结：项目总平/大门围墙道路小市政/堆场通道塔吊</w:t>
      </w:r>
      <w:r>
        <w:rPr>
          <w:rFonts w:ascii="微软雅黑" w:hAnsi="微软雅黑" w:eastAsia="微软雅黑"/>
          <w:b/>
          <w:sz w:val="24"/>
        </w:rPr>
        <w:t>/</w:t>
      </w:r>
      <w:r>
        <w:rPr>
          <w:rFonts w:hint="eastAsia" w:ascii="微软雅黑" w:hAnsi="微软雅黑" w:eastAsia="微软雅黑"/>
          <w:b/>
          <w:sz w:val="24"/>
        </w:rPr>
        <w:t>后浇带/排水沟/</w:t>
      </w:r>
      <w:r>
        <w:rPr>
          <w:rFonts w:ascii="微软雅黑" w:hAnsi="微软雅黑" w:eastAsia="微软雅黑"/>
          <w:b/>
          <w:sz w:val="24"/>
        </w:rPr>
        <w:t>BIM</w:t>
      </w:r>
      <w:r>
        <w:rPr>
          <w:rFonts w:hint="eastAsia" w:ascii="微软雅黑" w:hAnsi="微软雅黑" w:eastAsia="微软雅黑"/>
          <w:b/>
          <w:sz w:val="24"/>
        </w:rPr>
        <w:t>施组全周期统筹；</w:t>
      </w:r>
    </w:p>
    <w:p>
      <w:pPr>
        <w:spacing w:line="48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第三部分：产品设计精益管理</w:t>
      </w:r>
    </w:p>
    <w:p>
      <w:pPr>
        <w:numPr>
          <w:ilvl w:val="0"/>
          <w:numId w:val="4"/>
        </w:numPr>
        <w:jc w:val="left"/>
        <w:rPr>
          <w:rFonts w:ascii="微软雅黑" w:hAnsi="微软雅黑" w:eastAsia="微软雅黑"/>
          <w:b/>
          <w:bCs/>
          <w:sz w:val="24"/>
        </w:rPr>
      </w:pPr>
      <w:r>
        <w:rPr>
          <w:rFonts w:hint="eastAsia" w:ascii="微软雅黑" w:hAnsi="微软雅黑" w:eastAsia="微软雅黑"/>
          <w:b/>
          <w:bCs/>
          <w:sz w:val="24"/>
        </w:rPr>
        <w:t>构造协同和全周期精益；零缺陷（同构造：易施工/降投诉; 全协同:四图/管综）；零返修（易</w:t>
      </w:r>
      <w:r>
        <w:rPr>
          <w:rFonts w:ascii="微软雅黑" w:hAnsi="微软雅黑" w:eastAsia="微软雅黑"/>
          <w:b/>
          <w:bCs/>
          <w:sz w:val="24"/>
        </w:rPr>
        <w:t>/</w:t>
      </w:r>
      <w:r>
        <w:rPr>
          <w:rFonts w:hint="eastAsia" w:ascii="微软雅黑" w:hAnsi="微软雅黑" w:eastAsia="微软雅黑"/>
          <w:b/>
          <w:bCs/>
          <w:sz w:val="24"/>
        </w:rPr>
        <w:t>免检查；易</w:t>
      </w:r>
      <w:r>
        <w:rPr>
          <w:rFonts w:ascii="微软雅黑" w:hAnsi="微软雅黑" w:eastAsia="微软雅黑"/>
          <w:b/>
          <w:bCs/>
          <w:sz w:val="24"/>
        </w:rPr>
        <w:t>/</w:t>
      </w:r>
      <w:r>
        <w:rPr>
          <w:rFonts w:hint="eastAsia" w:ascii="微软雅黑" w:hAnsi="微软雅黑" w:eastAsia="微软雅黑"/>
          <w:b/>
          <w:bCs/>
          <w:sz w:val="24"/>
        </w:rPr>
        <w:t>免维修）；</w:t>
      </w:r>
    </w:p>
    <w:p>
      <w:pPr>
        <w:pStyle w:val="13"/>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建立以客户为关注焦点的产品质量管理体系；</w:t>
      </w:r>
    </w:p>
    <w:p>
      <w:pPr>
        <w:pStyle w:val="13"/>
        <w:numPr>
          <w:ilvl w:val="2"/>
          <w:numId w:val="2"/>
        </w:numPr>
        <w:ind w:firstLineChars="0"/>
        <w:jc w:val="left"/>
        <w:rPr>
          <w:rFonts w:ascii="微软雅黑" w:hAnsi="微软雅黑" w:eastAsia="微软雅黑" w:cs="微软雅黑"/>
          <w:b/>
          <w:bCs/>
          <w:sz w:val="24"/>
        </w:rPr>
      </w:pPr>
      <w:r>
        <w:rPr>
          <w:rFonts w:hint="eastAsia" w:ascii="微软雅黑" w:hAnsi="微软雅黑" w:eastAsia="微软雅黑" w:cs="微软雅黑"/>
          <w:b/>
          <w:bCs/>
          <w:sz w:val="24"/>
        </w:rPr>
        <w:t>案例：XX地产公司的客户</w:t>
      </w:r>
      <w:r>
        <w:rPr>
          <w:rFonts w:ascii="微软雅黑" w:hAnsi="微软雅黑" w:eastAsia="微软雅黑" w:cs="微软雅黑"/>
          <w:b/>
          <w:bCs/>
          <w:sz w:val="24"/>
        </w:rPr>
        <w:t>报修数据库</w:t>
      </w:r>
    </w:p>
    <w:p>
      <w:pPr>
        <w:pStyle w:val="13"/>
        <w:ind w:left="1260" w:firstLine="0" w:firstLineChars="0"/>
        <w:jc w:val="left"/>
        <w:rPr>
          <w:rFonts w:ascii="微软雅黑" w:hAnsi="微软雅黑" w:eastAsia="微软雅黑"/>
          <w:b/>
          <w:sz w:val="24"/>
          <w:szCs w:val="24"/>
        </w:rPr>
      </w:pPr>
      <w:r>
        <w:rPr>
          <w:rFonts w:hint="eastAsia" w:ascii="微软雅黑" w:hAnsi="微软雅黑" w:eastAsia="微软雅黑"/>
          <w:b/>
          <w:sz w:val="24"/>
          <w:szCs w:val="24"/>
        </w:rPr>
        <w:t>质量改进</w:t>
      </w:r>
      <w:r>
        <w:rPr>
          <w:rFonts w:ascii="微软雅黑" w:hAnsi="微软雅黑" w:eastAsia="微软雅黑"/>
          <w:b/>
          <w:sz w:val="24"/>
          <w:szCs w:val="24"/>
        </w:rPr>
        <w:t>：</w:t>
      </w:r>
      <w:r>
        <w:rPr>
          <w:rFonts w:hint="eastAsia" w:ascii="微软雅黑" w:hAnsi="微软雅黑" w:eastAsia="微软雅黑"/>
          <w:b/>
          <w:sz w:val="24"/>
          <w:szCs w:val="24"/>
        </w:rPr>
        <w:t>客户</w:t>
      </w:r>
      <w:r>
        <w:rPr>
          <w:rFonts w:ascii="微软雅黑" w:hAnsi="微软雅黑" w:eastAsia="微软雅黑"/>
          <w:b/>
          <w:sz w:val="24"/>
          <w:szCs w:val="24"/>
        </w:rPr>
        <w:t>报修</w:t>
      </w:r>
      <w:r>
        <w:rPr>
          <w:rFonts w:hint="eastAsia" w:ascii="微软雅黑" w:hAnsi="微软雅黑" w:eastAsia="微软雅黑"/>
          <w:b/>
          <w:sz w:val="24"/>
          <w:szCs w:val="24"/>
        </w:rPr>
        <w:t>/投诉/第三方</w:t>
      </w:r>
      <w:r>
        <w:rPr>
          <w:rFonts w:ascii="微软雅黑" w:hAnsi="微软雅黑" w:eastAsia="微软雅黑"/>
          <w:b/>
          <w:sz w:val="24"/>
          <w:szCs w:val="24"/>
        </w:rPr>
        <w:t>调研</w:t>
      </w:r>
      <w:r>
        <w:rPr>
          <w:rFonts w:hint="eastAsia" w:ascii="微软雅黑" w:hAnsi="微软雅黑" w:eastAsia="微软雅黑"/>
          <w:b/>
          <w:sz w:val="24"/>
          <w:szCs w:val="24"/>
        </w:rPr>
        <w:t>/缺陷</w:t>
      </w:r>
      <w:r>
        <w:rPr>
          <w:rFonts w:ascii="微软雅黑" w:hAnsi="微软雅黑" w:eastAsia="微软雅黑"/>
          <w:b/>
          <w:sz w:val="24"/>
          <w:szCs w:val="24"/>
        </w:rPr>
        <w:t>反馈；</w:t>
      </w:r>
    </w:p>
    <w:p>
      <w:pPr>
        <w:pStyle w:val="13"/>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 xml:space="preserve">       80</w:t>
      </w:r>
      <w:r>
        <w:rPr>
          <w:rFonts w:ascii="微软雅黑" w:hAnsi="微软雅黑" w:eastAsia="微软雅黑"/>
          <w:b/>
          <w:sz w:val="24"/>
          <w:szCs w:val="24"/>
        </w:rPr>
        <w:t>%</w:t>
      </w:r>
      <w:r>
        <w:rPr>
          <w:rFonts w:hint="eastAsia" w:ascii="微软雅黑" w:hAnsi="微软雅黑" w:eastAsia="微软雅黑"/>
          <w:b/>
          <w:sz w:val="24"/>
          <w:szCs w:val="24"/>
        </w:rPr>
        <w:t>报修</w:t>
      </w:r>
      <w:r>
        <w:rPr>
          <w:rFonts w:ascii="微软雅黑" w:hAnsi="微软雅黑" w:eastAsia="微软雅黑"/>
          <w:b/>
          <w:sz w:val="24"/>
          <w:szCs w:val="24"/>
        </w:rPr>
        <w:t>问题：</w:t>
      </w:r>
      <w:r>
        <w:rPr>
          <w:rFonts w:hint="eastAsia" w:ascii="微软雅黑" w:hAnsi="微软雅黑" w:eastAsia="微软雅黑"/>
          <w:b/>
          <w:sz w:val="24"/>
          <w:szCs w:val="24"/>
        </w:rPr>
        <w:t>外窗/空鼓/开裂/渗漏/入户门/机电系统</w:t>
      </w:r>
    </w:p>
    <w:p>
      <w:pPr>
        <w:pStyle w:val="13"/>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PC产品缺陷反馈的重要性及必要性分析</w:t>
      </w:r>
    </w:p>
    <w:p>
      <w:pPr>
        <w:pStyle w:val="13"/>
        <w:numPr>
          <w:ilvl w:val="2"/>
          <w:numId w:val="2"/>
        </w:numPr>
        <w:ind w:firstLineChars="0"/>
        <w:jc w:val="left"/>
        <w:rPr>
          <w:rFonts w:ascii="微软雅黑" w:hAnsi="微软雅黑" w:eastAsia="微软雅黑" w:cs="微软雅黑"/>
          <w:b/>
          <w:sz w:val="24"/>
        </w:rPr>
      </w:pPr>
      <w:r>
        <w:rPr>
          <w:rFonts w:hint="eastAsia" w:ascii="微软雅黑" w:hAnsi="微软雅黑" w:eastAsia="微软雅黑" w:cs="微软雅黑"/>
          <w:b/>
          <w:bCs/>
          <w:sz w:val="24"/>
        </w:rPr>
        <w:t>例题</w:t>
      </w:r>
      <w:r>
        <w:rPr>
          <w:rFonts w:ascii="微软雅黑" w:hAnsi="微软雅黑" w:eastAsia="微软雅黑" w:cs="微软雅黑"/>
          <w:b/>
          <w:bCs/>
          <w:sz w:val="24"/>
        </w:rPr>
        <w:t>：</w:t>
      </w:r>
      <w:r>
        <w:rPr>
          <w:rFonts w:hint="eastAsia" w:ascii="微软雅黑" w:hAnsi="微软雅黑" w:eastAsia="微软雅黑" w:cs="微软雅黑"/>
          <w:b/>
          <w:bCs/>
          <w:sz w:val="24"/>
        </w:rPr>
        <w:t>窗侧边墙面渗漏缺陷案例；</w:t>
      </w:r>
    </w:p>
    <w:p>
      <w:pPr>
        <w:pStyle w:val="13"/>
        <w:numPr>
          <w:ilvl w:val="0"/>
          <w:numId w:val="4"/>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零缺陷——同构造：易施工；统一设计参数/外墙全现浇/免砌筑（构造柱反槛全现浇）/免抹灰；</w:t>
      </w:r>
    </w:p>
    <w:p>
      <w:pPr>
        <w:numPr>
          <w:ilvl w:val="1"/>
          <w:numId w:val="3"/>
        </w:numPr>
        <w:ind w:left="1276" w:hanging="425"/>
        <w:jc w:val="left"/>
        <w:rPr>
          <w:rFonts w:ascii="微软雅黑" w:hAnsi="微软雅黑" w:eastAsia="微软雅黑"/>
          <w:b/>
          <w:sz w:val="24"/>
        </w:rPr>
      </w:pPr>
      <w:r>
        <w:rPr>
          <w:rFonts w:hint="eastAsia" w:ascii="微软雅黑" w:hAnsi="微软雅黑" w:eastAsia="微软雅黑"/>
          <w:b/>
          <w:sz w:val="24"/>
        </w:rPr>
        <w:t>例题：外墙线条渗漏开裂脱落案例分析；</w:t>
      </w:r>
    </w:p>
    <w:p>
      <w:pPr>
        <w:numPr>
          <w:ilvl w:val="0"/>
          <w:numId w:val="4"/>
        </w:numPr>
        <w:jc w:val="left"/>
        <w:rPr>
          <w:rFonts w:ascii="微软雅黑" w:hAnsi="微软雅黑" w:eastAsia="微软雅黑"/>
          <w:b/>
          <w:bCs/>
          <w:sz w:val="24"/>
        </w:rPr>
      </w:pPr>
      <w:r>
        <w:rPr>
          <w:rFonts w:hint="eastAsia" w:ascii="微软雅黑" w:hAnsi="微软雅黑" w:eastAsia="微软雅黑"/>
          <w:b/>
          <w:bCs/>
          <w:sz w:val="24"/>
        </w:rPr>
        <w:t>零缺陷——同构造：降投诉；</w:t>
      </w:r>
    </w:p>
    <w:p>
      <w:pPr>
        <w:numPr>
          <w:ilvl w:val="1"/>
          <w:numId w:val="3"/>
        </w:numPr>
        <w:ind w:left="1276" w:hanging="425"/>
        <w:jc w:val="left"/>
        <w:rPr>
          <w:rFonts w:ascii="微软雅黑" w:hAnsi="微软雅黑" w:eastAsia="微软雅黑"/>
          <w:b/>
          <w:sz w:val="24"/>
        </w:rPr>
      </w:pPr>
      <w:r>
        <w:rPr>
          <w:rFonts w:hint="eastAsia" w:ascii="微软雅黑" w:hAnsi="微软雅黑" w:eastAsia="微软雅黑"/>
          <w:b/>
          <w:sz w:val="24"/>
        </w:rPr>
        <w:t>例题：窗洞渗漏设计优化案例分析；</w:t>
      </w:r>
    </w:p>
    <w:p>
      <w:pPr>
        <w:numPr>
          <w:ilvl w:val="1"/>
          <w:numId w:val="3"/>
        </w:numPr>
        <w:ind w:left="1276" w:hanging="425"/>
        <w:jc w:val="left"/>
        <w:rPr>
          <w:rFonts w:ascii="微软雅黑" w:hAnsi="微软雅黑" w:eastAsia="微软雅黑"/>
          <w:b/>
          <w:sz w:val="24"/>
        </w:rPr>
      </w:pPr>
      <w:r>
        <w:rPr>
          <w:rFonts w:hint="eastAsia" w:ascii="微软雅黑" w:hAnsi="微软雅黑" w:eastAsia="微软雅黑"/>
          <w:b/>
          <w:sz w:val="24"/>
        </w:rPr>
        <w:t>例题：窗洞渗漏施工管理优化案例分析；</w:t>
      </w:r>
    </w:p>
    <w:p>
      <w:pPr>
        <w:numPr>
          <w:ilvl w:val="0"/>
          <w:numId w:val="4"/>
        </w:numPr>
        <w:jc w:val="left"/>
        <w:rPr>
          <w:rFonts w:ascii="微软雅黑" w:hAnsi="微软雅黑" w:eastAsia="微软雅黑"/>
          <w:b/>
          <w:bCs/>
          <w:sz w:val="24"/>
        </w:rPr>
      </w:pPr>
      <w:r>
        <w:rPr>
          <w:rFonts w:hint="eastAsia" w:ascii="微软雅黑" w:hAnsi="微软雅黑" w:eastAsia="微软雅黑"/>
          <w:b/>
          <w:bCs/>
          <w:sz w:val="24"/>
        </w:rPr>
        <w:t>零缺陷——全协同：管线综合；</w:t>
      </w:r>
    </w:p>
    <w:p>
      <w:pPr>
        <w:numPr>
          <w:ilvl w:val="0"/>
          <w:numId w:val="4"/>
        </w:numPr>
        <w:jc w:val="left"/>
        <w:rPr>
          <w:rFonts w:ascii="微软雅黑" w:hAnsi="微软雅黑" w:eastAsia="微软雅黑"/>
          <w:b/>
          <w:bCs/>
          <w:sz w:val="24"/>
        </w:rPr>
      </w:pPr>
      <w:r>
        <w:rPr>
          <w:rFonts w:hint="eastAsia" w:ascii="微软雅黑" w:hAnsi="微软雅黑" w:eastAsia="微软雅黑"/>
          <w:b/>
          <w:bCs/>
          <w:sz w:val="24"/>
        </w:rPr>
        <w:t>零返修——易/免检查&amp;易/免检修；B</w:t>
      </w:r>
      <w:r>
        <w:rPr>
          <w:rFonts w:ascii="微软雅黑" w:hAnsi="微软雅黑" w:eastAsia="微软雅黑"/>
          <w:b/>
          <w:bCs/>
          <w:sz w:val="24"/>
        </w:rPr>
        <w:t>IPV</w:t>
      </w:r>
      <w:r>
        <w:rPr>
          <w:rFonts w:hint="eastAsia" w:ascii="微软雅黑" w:hAnsi="微软雅黑" w:eastAsia="微软雅黑"/>
          <w:b/>
          <w:bCs/>
          <w:sz w:val="24"/>
        </w:rPr>
        <w:t>；</w:t>
      </w:r>
    </w:p>
    <w:p>
      <w:pPr>
        <w:numPr>
          <w:ilvl w:val="1"/>
          <w:numId w:val="3"/>
        </w:numPr>
        <w:ind w:left="1276" w:hanging="425"/>
        <w:jc w:val="left"/>
        <w:rPr>
          <w:rFonts w:ascii="微软雅黑" w:hAnsi="微软雅黑" w:eastAsia="微软雅黑"/>
          <w:b/>
          <w:sz w:val="24"/>
        </w:rPr>
      </w:pPr>
      <w:r>
        <w:rPr>
          <w:rFonts w:hint="eastAsia" w:ascii="微软雅黑" w:hAnsi="微软雅黑" w:eastAsia="微软雅黑"/>
          <w:b/>
          <w:sz w:val="24"/>
        </w:rPr>
        <w:t>案例：铝模墙体拉结件；</w:t>
      </w:r>
    </w:p>
    <w:p>
      <w:pPr>
        <w:numPr>
          <w:ilvl w:val="1"/>
          <w:numId w:val="3"/>
        </w:numPr>
        <w:ind w:left="1276" w:hanging="425"/>
        <w:jc w:val="left"/>
        <w:rPr>
          <w:rFonts w:ascii="微软雅黑" w:hAnsi="微软雅黑" w:eastAsia="微软雅黑"/>
          <w:b/>
          <w:sz w:val="24"/>
        </w:rPr>
      </w:pPr>
      <w:r>
        <w:rPr>
          <w:rFonts w:hint="eastAsia" w:ascii="微软雅黑" w:hAnsi="微软雅黑" w:eastAsia="微软雅黑"/>
          <w:b/>
          <w:sz w:val="24"/>
        </w:rPr>
        <w:t>例题：外墙螺杆洞渗水案例分析；</w:t>
      </w:r>
    </w:p>
    <w:p>
      <w:pPr>
        <w:numPr>
          <w:ilvl w:val="0"/>
          <w:numId w:val="4"/>
        </w:numPr>
        <w:jc w:val="left"/>
        <w:rPr>
          <w:rFonts w:ascii="微软雅黑" w:hAnsi="微软雅黑" w:eastAsia="微软雅黑"/>
          <w:b/>
          <w:bCs/>
          <w:sz w:val="24"/>
        </w:rPr>
      </w:pPr>
      <w:r>
        <w:rPr>
          <w:rFonts w:hint="eastAsia" w:ascii="微软雅黑" w:hAnsi="微软雅黑" w:eastAsia="微软雅黑"/>
          <w:b/>
          <w:bCs/>
          <w:sz w:val="24"/>
        </w:rPr>
        <w:t>工程设计精益管理</w:t>
      </w:r>
      <w:r>
        <w:rPr>
          <w:rFonts w:ascii="微软雅黑" w:hAnsi="微软雅黑" w:eastAsia="微软雅黑"/>
          <w:b/>
          <w:bCs/>
          <w:sz w:val="24"/>
        </w:rPr>
        <w:t>要点</w:t>
      </w:r>
      <w:r>
        <w:rPr>
          <w:rFonts w:hint="eastAsia" w:ascii="微软雅黑" w:hAnsi="微软雅黑" w:eastAsia="微软雅黑"/>
          <w:b/>
          <w:bCs/>
          <w:sz w:val="24"/>
        </w:rPr>
        <w:t>总结；零缺陷零返修（同构造/全协同/图纸精/零检查/零检修）;</w:t>
      </w:r>
    </w:p>
    <w:p>
      <w:pPr>
        <w:numPr>
          <w:ilvl w:val="0"/>
          <w:numId w:val="4"/>
        </w:numPr>
        <w:jc w:val="left"/>
        <w:rPr>
          <w:rFonts w:hint="eastAsia" w:ascii="微软雅黑" w:hAnsi="微软雅黑" w:eastAsia="微软雅黑"/>
          <w:b/>
          <w:bCs/>
          <w:sz w:val="24"/>
        </w:rPr>
      </w:pPr>
      <w:r>
        <w:rPr>
          <w:rFonts w:hint="eastAsia" w:ascii="微软雅黑" w:hAnsi="微软雅黑" w:eastAsia="微软雅黑"/>
          <w:b/>
          <w:bCs/>
          <w:sz w:val="24"/>
        </w:rPr>
        <w:t>分组</w:t>
      </w:r>
      <w:r>
        <w:rPr>
          <w:rFonts w:ascii="微软雅黑" w:hAnsi="微软雅黑" w:eastAsia="微软雅黑"/>
          <w:b/>
          <w:bCs/>
          <w:sz w:val="24"/>
        </w:rPr>
        <w:t>讨论与交流</w:t>
      </w:r>
      <w:r>
        <w:rPr>
          <w:rFonts w:hint="eastAsia" w:ascii="微软雅黑" w:hAnsi="微软雅黑" w:eastAsia="微软雅黑"/>
          <w:b/>
          <w:bCs/>
          <w:sz w:val="24"/>
        </w:rPr>
        <w:t>；</w:t>
      </w:r>
    </w:p>
    <w:p>
      <w:pPr>
        <w:spacing w:line="48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第四部分：标杆企业超低能耗建筑技术创新</w:t>
      </w:r>
    </w:p>
    <w:p>
      <w:pPr>
        <w:numPr>
          <w:ilvl w:val="0"/>
          <w:numId w:val="5"/>
        </w:numPr>
        <w:jc w:val="left"/>
        <w:rPr>
          <w:rFonts w:ascii="微软雅黑" w:hAnsi="微软雅黑" w:eastAsia="微软雅黑"/>
          <w:b/>
          <w:bCs/>
          <w:sz w:val="24"/>
        </w:rPr>
      </w:pPr>
      <w:r>
        <w:rPr>
          <w:rFonts w:hint="eastAsia" w:ascii="微软雅黑" w:hAnsi="微软雅黑" w:eastAsia="微软雅黑"/>
          <w:b/>
          <w:bCs/>
          <w:sz w:val="24"/>
        </w:rPr>
        <w:t>零渗漏技术；</w:t>
      </w:r>
    </w:p>
    <w:p>
      <w:pPr>
        <w:numPr>
          <w:ilvl w:val="0"/>
          <w:numId w:val="5"/>
        </w:numPr>
        <w:jc w:val="left"/>
        <w:rPr>
          <w:rFonts w:ascii="微软雅黑" w:hAnsi="微软雅黑" w:eastAsia="微软雅黑"/>
          <w:b/>
          <w:bCs/>
          <w:sz w:val="24"/>
        </w:rPr>
      </w:pPr>
      <w:r>
        <w:rPr>
          <w:rFonts w:hint="eastAsia" w:ascii="微软雅黑" w:hAnsi="微软雅黑" w:eastAsia="微软雅黑"/>
          <w:b/>
          <w:bCs/>
          <w:sz w:val="24"/>
        </w:rPr>
        <w:t>零渗漏种植屋顶技术；</w:t>
      </w:r>
    </w:p>
    <w:p>
      <w:pPr>
        <w:numPr>
          <w:ilvl w:val="0"/>
          <w:numId w:val="5"/>
        </w:numPr>
        <w:jc w:val="left"/>
        <w:rPr>
          <w:rFonts w:ascii="微软雅黑" w:hAnsi="微软雅黑" w:eastAsia="微软雅黑"/>
          <w:b/>
          <w:bCs/>
          <w:sz w:val="24"/>
        </w:rPr>
      </w:pPr>
      <w:r>
        <w:rPr>
          <w:rFonts w:hint="eastAsia" w:ascii="微软雅黑" w:hAnsi="微软雅黑" w:eastAsia="微软雅黑"/>
          <w:b/>
          <w:bCs/>
          <w:sz w:val="24"/>
        </w:rPr>
        <w:t>外保温、中保温、内保温技术；</w:t>
      </w:r>
    </w:p>
    <w:p>
      <w:pPr>
        <w:numPr>
          <w:ilvl w:val="0"/>
          <w:numId w:val="5"/>
        </w:numPr>
        <w:jc w:val="left"/>
        <w:rPr>
          <w:rFonts w:ascii="微软雅黑" w:hAnsi="微软雅黑" w:eastAsia="微软雅黑"/>
          <w:b/>
          <w:bCs/>
          <w:sz w:val="24"/>
        </w:rPr>
      </w:pPr>
      <w:r>
        <w:rPr>
          <w:rFonts w:hint="eastAsia" w:ascii="微软雅黑" w:hAnsi="微软雅黑" w:eastAsia="微软雅黑"/>
          <w:b/>
          <w:bCs/>
          <w:sz w:val="24"/>
        </w:rPr>
        <w:t>外遮阳、中百叶、内遮阳技术；</w:t>
      </w:r>
    </w:p>
    <w:p>
      <w:pPr>
        <w:numPr>
          <w:ilvl w:val="0"/>
          <w:numId w:val="5"/>
        </w:numPr>
        <w:jc w:val="left"/>
        <w:rPr>
          <w:rFonts w:ascii="微软雅黑" w:hAnsi="微软雅黑" w:eastAsia="微软雅黑"/>
          <w:b/>
          <w:bCs/>
          <w:sz w:val="24"/>
        </w:rPr>
      </w:pPr>
      <w:r>
        <w:rPr>
          <w:rFonts w:hint="eastAsia" w:ascii="微软雅黑" w:hAnsi="微软雅黑" w:eastAsia="微软雅黑"/>
          <w:b/>
          <w:bCs/>
          <w:sz w:val="24"/>
        </w:rPr>
        <w:t>节能门窗技术——高性能断桥铝窗、塑料窗；</w:t>
      </w:r>
    </w:p>
    <w:p>
      <w:pPr>
        <w:numPr>
          <w:ilvl w:val="0"/>
          <w:numId w:val="5"/>
        </w:numPr>
        <w:jc w:val="left"/>
        <w:rPr>
          <w:rFonts w:ascii="微软雅黑" w:hAnsi="微软雅黑" w:eastAsia="微软雅黑"/>
          <w:b/>
          <w:bCs/>
          <w:sz w:val="24"/>
        </w:rPr>
      </w:pPr>
      <w:r>
        <w:rPr>
          <w:rFonts w:hint="eastAsia" w:ascii="微软雅黑" w:hAnsi="微软雅黑" w:eastAsia="微软雅黑"/>
          <w:b/>
          <w:bCs/>
          <w:sz w:val="24"/>
        </w:rPr>
        <w:t>同层排水技术；</w:t>
      </w:r>
    </w:p>
    <w:p>
      <w:pPr>
        <w:numPr>
          <w:ilvl w:val="0"/>
          <w:numId w:val="5"/>
        </w:numPr>
        <w:jc w:val="left"/>
        <w:rPr>
          <w:rFonts w:ascii="微软雅黑" w:hAnsi="微软雅黑" w:eastAsia="微软雅黑"/>
          <w:b/>
          <w:bCs/>
          <w:sz w:val="24"/>
        </w:rPr>
      </w:pPr>
      <w:r>
        <w:rPr>
          <w:rFonts w:hint="eastAsia" w:ascii="微软雅黑" w:hAnsi="微软雅黑" w:eastAsia="微软雅黑"/>
          <w:b/>
          <w:bCs/>
          <w:sz w:val="24"/>
        </w:rPr>
        <w:t>超低能耗建筑技术创新</w:t>
      </w:r>
      <w:r>
        <w:rPr>
          <w:rFonts w:ascii="微软雅黑" w:hAnsi="微软雅黑" w:eastAsia="微软雅黑"/>
          <w:b/>
          <w:bCs/>
          <w:sz w:val="24"/>
        </w:rPr>
        <w:t>要点</w:t>
      </w:r>
      <w:r>
        <w:rPr>
          <w:rFonts w:hint="eastAsia" w:ascii="微软雅黑" w:hAnsi="微软雅黑" w:eastAsia="微软雅黑"/>
          <w:b/>
          <w:bCs/>
          <w:sz w:val="24"/>
        </w:rPr>
        <w:t>总结；</w:t>
      </w:r>
    </w:p>
    <w:p>
      <w:pPr>
        <w:numPr>
          <w:ilvl w:val="0"/>
          <w:numId w:val="5"/>
        </w:numPr>
        <w:jc w:val="left"/>
        <w:rPr>
          <w:rFonts w:ascii="微软雅黑" w:hAnsi="微软雅黑" w:eastAsia="微软雅黑"/>
          <w:b/>
          <w:bCs/>
          <w:sz w:val="24"/>
        </w:rPr>
      </w:pPr>
      <w:r>
        <w:rPr>
          <w:rFonts w:hint="eastAsia" w:ascii="微软雅黑" w:hAnsi="微软雅黑" w:eastAsia="微软雅黑"/>
          <w:b/>
          <w:bCs/>
          <w:sz w:val="24"/>
        </w:rPr>
        <w:t>分组</w:t>
      </w:r>
      <w:r>
        <w:rPr>
          <w:rFonts w:ascii="微软雅黑" w:hAnsi="微软雅黑" w:eastAsia="微软雅黑"/>
          <w:b/>
          <w:bCs/>
          <w:sz w:val="24"/>
        </w:rPr>
        <w:t>讨论与交流</w:t>
      </w:r>
      <w:r>
        <w:rPr>
          <w:rFonts w:hint="eastAsia" w:ascii="微软雅黑" w:hAnsi="微软雅黑" w:eastAsia="微软雅黑"/>
          <w:b/>
          <w:bCs/>
          <w:sz w:val="24"/>
        </w:rPr>
        <w:t>；</w:t>
      </w:r>
    </w:p>
    <w:p>
      <w:pPr>
        <w:spacing w:line="480" w:lineRule="exact"/>
        <w:ind w:left="210" w:leftChars="100"/>
        <w:rPr>
          <w:rFonts w:ascii="微软雅黑" w:hAnsi="微软雅黑" w:eastAsia="微软雅黑" w:cs="微软雅黑"/>
          <w:bCs/>
          <w:sz w:val="24"/>
        </w:rPr>
      </w:pPr>
    </w:p>
    <w:p>
      <w:pPr>
        <w:spacing w:line="480" w:lineRule="exact"/>
        <w:ind w:left="210" w:leftChars="100"/>
        <w:rPr>
          <w:rFonts w:ascii="微软雅黑" w:hAnsi="微软雅黑" w:eastAsia="微软雅黑" w:cs="微软雅黑"/>
          <w:bCs/>
          <w:sz w:val="24"/>
        </w:rPr>
      </w:pPr>
    </w:p>
    <w:p>
      <w:pPr>
        <w:spacing w:line="480" w:lineRule="exact"/>
        <w:ind w:left="210" w:leftChars="100"/>
        <w:rPr>
          <w:rFonts w:ascii="微软雅黑" w:hAnsi="微软雅黑" w:eastAsia="微软雅黑" w:cs="微软雅黑"/>
          <w:bCs/>
          <w:sz w:val="24"/>
        </w:rPr>
      </w:pPr>
    </w:p>
    <w:p>
      <w:pPr>
        <w:spacing w:line="480" w:lineRule="exact"/>
        <w:ind w:left="210" w:leftChars="100"/>
        <w:rPr>
          <w:rFonts w:ascii="微软雅黑" w:hAnsi="微软雅黑" w:eastAsia="微软雅黑" w:cs="微软雅黑"/>
          <w:bCs/>
          <w:sz w:val="24"/>
        </w:rPr>
      </w:pPr>
    </w:p>
    <w:p>
      <w:pPr>
        <w:spacing w:line="480" w:lineRule="exact"/>
        <w:ind w:left="210" w:leftChars="100"/>
        <w:rPr>
          <w:rFonts w:ascii="微软雅黑" w:hAnsi="微软雅黑" w:eastAsia="微软雅黑" w:cs="微软雅黑"/>
          <w:bCs/>
          <w:sz w:val="24"/>
        </w:rPr>
      </w:pPr>
    </w:p>
    <w:p>
      <w:pPr>
        <w:spacing w:line="480" w:lineRule="exact"/>
        <w:ind w:left="210" w:leftChars="100"/>
        <w:rPr>
          <w:rFonts w:ascii="微软雅黑" w:hAnsi="微软雅黑" w:eastAsia="微软雅黑" w:cs="微软雅黑"/>
          <w:bCs/>
          <w:sz w:val="24"/>
        </w:rPr>
      </w:pPr>
    </w:p>
    <w:p>
      <w:pPr>
        <w:spacing w:line="480" w:lineRule="exact"/>
        <w:ind w:left="210" w:leftChars="100"/>
        <w:rPr>
          <w:rFonts w:ascii="微软雅黑" w:hAnsi="微软雅黑" w:eastAsia="微软雅黑" w:cs="微软雅黑"/>
          <w:bCs/>
          <w:sz w:val="24"/>
        </w:rPr>
      </w:pPr>
    </w:p>
    <w:p>
      <w:pPr>
        <w:spacing w:line="480" w:lineRule="exact"/>
        <w:ind w:left="210" w:leftChars="100"/>
        <w:rPr>
          <w:rFonts w:ascii="微软雅黑" w:hAnsi="微软雅黑" w:eastAsia="微软雅黑" w:cs="微软雅黑"/>
          <w:bCs/>
          <w:sz w:val="24"/>
        </w:rPr>
      </w:pPr>
    </w:p>
    <w:p>
      <w:pPr>
        <w:spacing w:line="480" w:lineRule="exact"/>
        <w:ind w:left="210" w:leftChars="100"/>
        <w:rPr>
          <w:rFonts w:ascii="微软雅黑" w:hAnsi="微软雅黑" w:eastAsia="微软雅黑" w:cs="微软雅黑"/>
          <w:bCs/>
          <w:sz w:val="24"/>
        </w:rPr>
      </w:pPr>
    </w:p>
    <w:p>
      <w:pPr>
        <w:spacing w:line="480" w:lineRule="exact"/>
        <w:ind w:left="210" w:leftChars="100"/>
        <w:rPr>
          <w:rFonts w:ascii="微软雅黑" w:hAnsi="微软雅黑" w:eastAsia="微软雅黑" w:cs="微软雅黑"/>
          <w:bCs/>
          <w:sz w:val="24"/>
        </w:rPr>
      </w:pPr>
    </w:p>
    <w:p>
      <w:pPr>
        <w:spacing w:line="480" w:lineRule="exact"/>
        <w:ind w:left="210" w:leftChars="100"/>
        <w:rPr>
          <w:rFonts w:ascii="微软雅黑" w:hAnsi="微软雅黑" w:eastAsia="微软雅黑" w:cs="微软雅黑"/>
          <w:bCs/>
          <w:sz w:val="24"/>
        </w:rPr>
      </w:pPr>
    </w:p>
    <w:p>
      <w:pPr>
        <w:spacing w:line="480" w:lineRule="exact"/>
        <w:ind w:left="210" w:leftChars="100"/>
        <w:rPr>
          <w:rFonts w:ascii="微软雅黑" w:hAnsi="微软雅黑" w:eastAsia="微软雅黑" w:cs="微软雅黑"/>
          <w:bCs/>
          <w:sz w:val="24"/>
        </w:rPr>
      </w:pPr>
    </w:p>
    <w:p>
      <w:pPr>
        <w:spacing w:line="480" w:lineRule="exact"/>
        <w:ind w:left="210" w:leftChars="100"/>
        <w:rPr>
          <w:rFonts w:ascii="微软雅黑" w:hAnsi="微软雅黑" w:eastAsia="微软雅黑" w:cs="微软雅黑"/>
          <w:bCs/>
          <w:sz w:val="24"/>
        </w:rPr>
      </w:pPr>
    </w:p>
    <w:p>
      <w:pPr>
        <w:spacing w:line="480" w:lineRule="exact"/>
        <w:ind w:left="210" w:leftChars="100"/>
        <w:rPr>
          <w:rFonts w:ascii="微软雅黑" w:hAnsi="微软雅黑" w:eastAsia="微软雅黑" w:cs="微软雅黑"/>
          <w:bCs/>
          <w:sz w:val="24"/>
        </w:rPr>
      </w:pPr>
    </w:p>
    <w:p>
      <w:pPr>
        <w:spacing w:line="480" w:lineRule="exact"/>
        <w:ind w:left="210" w:leftChars="100"/>
        <w:rPr>
          <w:rFonts w:ascii="微软雅黑" w:hAnsi="微软雅黑" w:eastAsia="微软雅黑" w:cs="微软雅黑"/>
          <w:bCs/>
          <w:sz w:val="24"/>
        </w:rPr>
      </w:pPr>
    </w:p>
    <w:p>
      <w:pPr>
        <w:spacing w:line="480" w:lineRule="exact"/>
        <w:ind w:left="210" w:leftChars="100"/>
        <w:rPr>
          <w:rFonts w:ascii="微软雅黑" w:hAnsi="微软雅黑" w:eastAsia="微软雅黑" w:cs="微软雅黑"/>
          <w:bCs/>
          <w:sz w:val="24"/>
        </w:rPr>
      </w:pPr>
    </w:p>
    <w:p>
      <w:pPr>
        <w:spacing w:line="480" w:lineRule="exact"/>
        <w:ind w:left="210" w:leftChars="100"/>
        <w:rPr>
          <w:rFonts w:ascii="微软雅黑" w:hAnsi="微软雅黑" w:eastAsia="微软雅黑" w:cs="微软雅黑"/>
          <w:bCs/>
          <w:sz w:val="24"/>
        </w:rPr>
      </w:pPr>
    </w:p>
    <w:p>
      <w:pPr>
        <w:spacing w:line="480" w:lineRule="exact"/>
        <w:ind w:left="210" w:leftChars="100"/>
        <w:rPr>
          <w:rFonts w:ascii="微软雅黑" w:hAnsi="微软雅黑" w:eastAsia="微软雅黑" w:cs="微软雅黑"/>
          <w:bCs/>
          <w:sz w:val="24"/>
        </w:rPr>
      </w:pPr>
    </w:p>
    <w:p>
      <w:pPr>
        <w:spacing w:line="480" w:lineRule="exact"/>
        <w:ind w:left="210" w:leftChars="100"/>
        <w:rPr>
          <w:rFonts w:ascii="微软雅黑" w:hAnsi="微软雅黑" w:eastAsia="微软雅黑" w:cs="微软雅黑"/>
          <w:bCs/>
          <w:sz w:val="24"/>
        </w:rPr>
      </w:pPr>
    </w:p>
    <w:p>
      <w:pPr>
        <w:spacing w:line="480" w:lineRule="exact"/>
        <w:ind w:left="210" w:leftChars="100"/>
        <w:rPr>
          <w:rFonts w:hint="eastAsia" w:ascii="微软雅黑" w:hAnsi="微软雅黑" w:eastAsia="微软雅黑" w:cs="微软雅黑"/>
          <w:bCs/>
          <w:sz w:val="24"/>
        </w:rPr>
      </w:pPr>
    </w:p>
    <w:p>
      <w:pPr>
        <w:adjustRightInd w:val="0"/>
        <w:snapToGrid w:val="0"/>
        <w:spacing w:line="288" w:lineRule="auto"/>
        <w:jc w:val="center"/>
        <w:rPr>
          <w:rFonts w:ascii="微软雅黑" w:hAnsi="微软雅黑" w:eastAsia="微软雅黑" w:cs="宋体"/>
          <w:b/>
          <w:color w:val="404040"/>
          <w:spacing w:val="10"/>
          <w:szCs w:val="21"/>
        </w:rPr>
      </w:pPr>
      <w:r>
        <w:rPr>
          <w:rFonts w:hint="eastAsia" w:ascii="微软雅黑" w:hAnsi="微软雅黑" w:eastAsia="微软雅黑" w:cs="微软雅黑"/>
          <w:bCs/>
          <w:sz w:val="24"/>
        </w:rPr>
        <w:t xml:space="preserve"> </w:t>
      </w:r>
      <w:r>
        <w:rPr>
          <w:rFonts w:ascii="微软雅黑" w:hAnsi="微软雅黑" w:eastAsia="微软雅黑" w:cs="微软雅黑"/>
          <w:bCs/>
          <w:sz w:val="24"/>
        </w:rPr>
        <w:t xml:space="preserve">       </w:t>
      </w:r>
      <w:bookmarkStart w:id="1" w:name="_Hlk106713002"/>
      <w:r>
        <w:rPr>
          <w:rFonts w:ascii="微软雅黑" w:hAnsi="微软雅黑" w:eastAsia="微软雅黑" w:cs="宋体"/>
          <w:b/>
          <w:color w:val="404040"/>
          <w:spacing w:val="10"/>
          <w:szCs w:val="21"/>
          <w:lang/>
        </w:rPr>
        <w:drawing>
          <wp:inline distT="0" distB="0" distL="114300" distR="114300">
            <wp:extent cx="6199505" cy="394970"/>
            <wp:effectExtent l="0" t="0" r="3175" b="1270"/>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pic:cNvPicPr>
                      <a:picLocks noChangeAspect="1"/>
                    </pic:cNvPicPr>
                  </pic:nvPicPr>
                  <pic:blipFill>
                    <a:blip r:embed="rId5"/>
                    <a:stretch>
                      <a:fillRect/>
                    </a:stretch>
                  </pic:blipFill>
                  <pic:spPr>
                    <a:xfrm>
                      <a:off x="0" y="0"/>
                      <a:ext cx="6199505" cy="394970"/>
                    </a:xfrm>
                    <a:prstGeom prst="rect">
                      <a:avLst/>
                    </a:prstGeom>
                    <a:noFill/>
                    <a:ln>
                      <a:noFill/>
                    </a:ln>
                  </pic:spPr>
                </pic:pic>
              </a:graphicData>
            </a:graphic>
          </wp:inline>
        </w:drawing>
      </w:r>
    </w:p>
    <w:p>
      <w:pPr>
        <w:adjustRightInd w:val="0"/>
        <w:snapToGrid w:val="0"/>
        <w:spacing w:line="288" w:lineRule="auto"/>
        <w:rPr>
          <w:rFonts w:ascii="微软雅黑" w:hAnsi="微软雅黑" w:eastAsia="微软雅黑" w:cs="宋体"/>
          <w:b/>
          <w:color w:val="404040"/>
          <w:spacing w:val="10"/>
          <w:szCs w:val="21"/>
        </w:rPr>
      </w:pPr>
    </w:p>
    <w:p>
      <w:pPr>
        <w:adjustRightInd w:val="0"/>
        <w:snapToGrid w:val="0"/>
        <w:spacing w:line="288" w:lineRule="auto"/>
        <w:rPr>
          <w:rFonts w:ascii="微软雅黑" w:hAnsi="微软雅黑" w:eastAsia="微软雅黑" w:cs="宋体"/>
          <w:b/>
          <w:bCs/>
          <w:color w:val="404040"/>
          <w:spacing w:val="10"/>
          <w:sz w:val="32"/>
          <w:szCs w:val="32"/>
        </w:rPr>
      </w:pPr>
      <w:r>
        <w:rPr>
          <w:rFonts w:hint="eastAsia" w:ascii="微软雅黑" w:hAnsi="微软雅黑" w:eastAsia="微软雅黑" w:cs="宋体"/>
          <w:b/>
          <w:bCs/>
          <w:color w:val="404040"/>
          <w:spacing w:val="10"/>
          <w:sz w:val="32"/>
          <w:szCs w:val="32"/>
        </w:rPr>
        <w:t>杨帆老师</w:t>
      </w:r>
    </w:p>
    <w:p>
      <w:pPr>
        <w:adjustRightInd w:val="0"/>
        <w:snapToGrid w:val="0"/>
        <w:spacing w:line="288" w:lineRule="auto"/>
        <w:rPr>
          <w:rFonts w:ascii="微软雅黑" w:hAnsi="微软雅黑" w:eastAsia="微软雅黑" w:cs="宋体"/>
          <w:b/>
          <w:bCs/>
          <w:color w:val="404040"/>
          <w:spacing w:val="10"/>
          <w:sz w:val="32"/>
          <w:szCs w:val="32"/>
        </w:rPr>
      </w:pPr>
      <w:r>
        <w:rPr>
          <w:rFonts w:ascii="微软雅黑" w:hAnsi="微软雅黑" w:eastAsia="微软雅黑" w:cs="宋体"/>
          <w:b/>
          <w:color w:val="000000"/>
          <w:spacing w:val="10"/>
          <w:sz w:val="32"/>
          <w:szCs w:val="32"/>
          <w:lang/>
        </w:rPr>
        <w:drawing>
          <wp:inline distT="0" distB="0" distL="114300" distR="114300">
            <wp:extent cx="6172200" cy="411480"/>
            <wp:effectExtent l="0" t="0" r="0" b="0"/>
            <wp:docPr id="2" name="图片 2" descr="职业背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职业背景"/>
                    <pic:cNvPicPr>
                      <a:picLocks noChangeAspect="1"/>
                    </pic:cNvPicPr>
                  </pic:nvPicPr>
                  <pic:blipFill>
                    <a:blip r:embed="rId6"/>
                    <a:stretch>
                      <a:fillRect/>
                    </a:stretch>
                  </pic:blipFill>
                  <pic:spPr>
                    <a:xfrm>
                      <a:off x="0" y="0"/>
                      <a:ext cx="6172200" cy="411480"/>
                    </a:xfrm>
                    <a:prstGeom prst="rect">
                      <a:avLst/>
                    </a:prstGeom>
                    <a:noFill/>
                    <a:ln>
                      <a:noFill/>
                    </a:ln>
                  </pic:spPr>
                </pic:pic>
              </a:graphicData>
            </a:graphic>
          </wp:inline>
        </w:drawing>
      </w:r>
    </w:p>
    <w:p>
      <w:pPr>
        <w:pStyle w:val="13"/>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原华夏幸福分管（设计/采购/成本/工程/客服/全面质量）副总裁</w:t>
      </w:r>
    </w:p>
    <w:p>
      <w:pPr>
        <w:pStyle w:val="13"/>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原当代节能置业首席工程师（总裁级）</w:t>
      </w:r>
    </w:p>
    <w:p>
      <w:pPr>
        <w:pStyle w:val="13"/>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原山东儒辰集团分管设计副总裁 </w:t>
      </w:r>
    </w:p>
    <w:p>
      <w:pPr>
        <w:pStyle w:val="13"/>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原当代节能置业工程管理中心/采购成本中心/研发设计中心总经理</w:t>
      </w:r>
    </w:p>
    <w:p>
      <w:pPr>
        <w:pStyle w:val="13"/>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原第一资产董事长助理/总工程师</w:t>
      </w:r>
    </w:p>
    <w:p>
      <w:pPr>
        <w:pStyle w:val="13"/>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原福晟集团工程管理中心总经理</w:t>
      </w:r>
    </w:p>
    <w:p>
      <w:pPr>
        <w:pStyle w:val="13"/>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清华大学工业工程硕士/华中科技大学城市规划专业学士</w:t>
      </w:r>
    </w:p>
    <w:p>
      <w:pPr>
        <w:pStyle w:val="13"/>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高级工程师/注册一级建造师                     </w:t>
      </w:r>
    </w:p>
    <w:p>
      <w:pPr>
        <w:pStyle w:val="13"/>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中国房地产技术联盟总工之家副秘书长 总工之家专家委员会副主任委员 </w:t>
      </w:r>
    </w:p>
    <w:p>
      <w:pPr>
        <w:pStyle w:val="13"/>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零渗漏专业工作委员会主任 </w:t>
      </w:r>
    </w:p>
    <w:p>
      <w:pPr>
        <w:pStyle w:val="13"/>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全联房地产商会全装修产业分会首席专家</w:t>
      </w:r>
    </w:p>
    <w:p>
      <w:pPr>
        <w:pStyle w:val="13"/>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中国工程招采协会副秘书长 </w:t>
      </w:r>
    </w:p>
    <w:p>
      <w:pPr>
        <w:pStyle w:val="13"/>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中国门窗幕墙标准化工作委员会专家委员</w:t>
      </w:r>
    </w:p>
    <w:p>
      <w:pPr>
        <w:pStyle w:val="13"/>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中国金属结构协会钢木门窗委员会专家委员 </w:t>
      </w:r>
    </w:p>
    <w:p>
      <w:pPr>
        <w:pStyle w:val="13"/>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中国金属结构协会塑料门窗委员会副主任委员 </w:t>
      </w:r>
    </w:p>
    <w:p>
      <w:pPr>
        <w:pStyle w:val="13"/>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中国建筑玻璃与工业玻璃协会专家委员</w:t>
      </w:r>
    </w:p>
    <w:p>
      <w:pPr>
        <w:pStyle w:val="13"/>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中国塑料工业协会塑料管材委员会副主任委员</w:t>
      </w:r>
    </w:p>
    <w:p>
      <w:pPr>
        <w:pStyle w:val="13"/>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中国绿色建筑委员会委员</w:t>
      </w:r>
    </w:p>
    <w:p>
      <w:pPr>
        <w:adjustRightInd w:val="0"/>
        <w:snapToGrid w:val="0"/>
        <w:spacing w:before="240" w:line="288" w:lineRule="auto"/>
        <w:rPr>
          <w:rFonts w:ascii="微软雅黑" w:hAnsi="微软雅黑" w:eastAsia="微软雅黑" w:cs="宋体"/>
          <w:b/>
          <w:color w:val="404040"/>
          <w:spacing w:val="10"/>
          <w:szCs w:val="21"/>
        </w:rPr>
      </w:pPr>
      <w:r>
        <w:rPr>
          <w:rFonts w:ascii="微软雅黑" w:hAnsi="微软雅黑" w:eastAsia="微软雅黑" w:cs="宋体"/>
          <w:b/>
          <w:color w:val="000000"/>
          <w:spacing w:val="10"/>
          <w:szCs w:val="21"/>
          <w:lang/>
        </w:rPr>
        <w:drawing>
          <wp:inline distT="0" distB="0" distL="114300" distR="114300">
            <wp:extent cx="6188710" cy="412750"/>
            <wp:effectExtent l="0" t="0" r="13970" b="13970"/>
            <wp:docPr id="3"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9"/>
                    <pic:cNvPicPr>
                      <a:picLocks noChangeAspect="1"/>
                    </pic:cNvPicPr>
                  </pic:nvPicPr>
                  <pic:blipFill>
                    <a:blip r:embed="rId7"/>
                    <a:stretch>
                      <a:fillRect/>
                    </a:stretch>
                  </pic:blipFill>
                  <pic:spPr>
                    <a:xfrm>
                      <a:off x="0" y="0"/>
                      <a:ext cx="6188710" cy="412750"/>
                    </a:xfrm>
                    <a:prstGeom prst="rect">
                      <a:avLst/>
                    </a:prstGeom>
                    <a:noFill/>
                    <a:ln>
                      <a:noFill/>
                    </a:ln>
                  </pic:spPr>
                </pic:pic>
              </a:graphicData>
            </a:graphic>
          </wp:inline>
        </w:drawing>
      </w:r>
    </w:p>
    <w:p>
      <w:pPr>
        <w:pStyle w:val="13"/>
        <w:widowControl/>
        <w:numPr>
          <w:ilvl w:val="0"/>
          <w:numId w:val="7"/>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北京万科、大连万科、融创地产、恒大地产、龙湖地产、黑龙江保利、辽宁保利、保利京津冀、保利淮海、保利华南、江西保利、广东保利、中海地产、绿地香港、绿地一部、绿城地产、蓝城集团、华润置地、华夏幸福、中粮置地、旭辉地产、招商蛇口、金科地产、金辉地产、金地地产、金融街、佳兆业、中铁建、鲁能地产、众安集团、天阳控股、中建东孚、钱城开发、陕西万众、远洋地产、奥园地产、五矿地产、仁恒地产、越秀地产、华发地产、祥生地产、正荣地产、星河集团、信和置业、晶泽实业、中天美好、路劲地产、建业集团、福晟集团、当代置业、儒辰集团、北京建工、电建地产、北京城建地产等</w:t>
      </w:r>
    </w:p>
    <w:p>
      <w:pPr>
        <w:pStyle w:val="13"/>
        <w:adjustRightInd w:val="0"/>
        <w:snapToGrid w:val="0"/>
        <w:spacing w:line="288" w:lineRule="auto"/>
        <w:ind w:firstLine="460"/>
        <w:rPr>
          <w:rFonts w:ascii="微软雅黑" w:hAnsi="微软雅黑" w:eastAsia="微软雅黑" w:cs="宋体"/>
          <w:color w:val="404040"/>
          <w:spacing w:val="10"/>
          <w:szCs w:val="21"/>
        </w:rPr>
      </w:pPr>
    </w:p>
    <w:p>
      <w:pPr>
        <w:spacing w:line="360" w:lineRule="auto"/>
        <w:rPr>
          <w:rFonts w:ascii="微软雅黑" w:hAnsi="微软雅黑" w:eastAsia="微软雅黑" w:cs="宋体"/>
          <w:color w:val="000000"/>
          <w:spacing w:val="10"/>
          <w:szCs w:val="21"/>
          <w:lang/>
        </w:rPr>
      </w:pPr>
      <w:r>
        <w:rPr>
          <w:rFonts w:ascii="微软雅黑" w:hAnsi="微软雅黑" w:eastAsia="微软雅黑" w:cs="宋体"/>
          <w:color w:val="000000"/>
          <w:spacing w:val="10"/>
          <w:szCs w:val="21"/>
          <w:lang/>
        </w:rPr>
        <w:drawing>
          <wp:inline distT="0" distB="0" distL="114300" distR="114300">
            <wp:extent cx="6188710" cy="412750"/>
            <wp:effectExtent l="0" t="0" r="13970" b="13970"/>
            <wp:docPr id="4"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0"/>
                    <pic:cNvPicPr>
                      <a:picLocks noChangeAspect="1"/>
                    </pic:cNvPicPr>
                  </pic:nvPicPr>
                  <pic:blipFill>
                    <a:blip r:embed="rId8"/>
                    <a:stretch>
                      <a:fillRect/>
                    </a:stretch>
                  </pic:blipFill>
                  <pic:spPr>
                    <a:xfrm>
                      <a:off x="0" y="0"/>
                      <a:ext cx="6188710" cy="412750"/>
                    </a:xfrm>
                    <a:prstGeom prst="rect">
                      <a:avLst/>
                    </a:prstGeom>
                    <a:noFill/>
                    <a:ln>
                      <a:noFill/>
                    </a:ln>
                  </pic:spPr>
                </pic:pic>
              </a:graphicData>
            </a:graphic>
          </wp:inline>
        </w:drawing>
      </w:r>
    </w:p>
    <w:bookmarkEnd w:id="1"/>
    <w:p>
      <w:pPr>
        <w:spacing w:line="360" w:lineRule="auto"/>
        <w:rPr>
          <w:rFonts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维度一：运营管理和项目管理类课程（</w:t>
      </w:r>
      <w:r>
        <w:rPr>
          <w:rFonts w:ascii="微软雅黑" w:hAnsi="微软雅黑" w:eastAsia="微软雅黑" w:cs="微软雅黑"/>
          <w:b/>
          <w:color w:val="404040"/>
          <w:szCs w:val="21"/>
          <w:u w:val="single"/>
        </w:rPr>
        <w:t>9</w:t>
      </w:r>
      <w:r>
        <w:rPr>
          <w:rFonts w:hint="eastAsia" w:ascii="微软雅黑" w:hAnsi="微软雅黑" w:eastAsia="微软雅黑" w:cs="微软雅黑"/>
          <w:b/>
          <w:color w:val="404040"/>
          <w:szCs w:val="21"/>
          <w:u w:val="single"/>
        </w:rPr>
        <w:t>门课）</w:t>
      </w:r>
    </w:p>
    <w:p>
      <w:pPr>
        <w:numPr>
          <w:ilvl w:val="0"/>
          <w:numId w:val="8"/>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《标杆房企工程管理客户满意度提升管理要点及实战案例》</w:t>
      </w:r>
      <w:r>
        <w:rPr>
          <w:rFonts w:hint="eastAsia" w:ascii="微软雅黑" w:hAnsi="微软雅黑" w:eastAsia="微软雅黑" w:cs="微软雅黑"/>
          <w:b/>
          <w:color w:val="404040"/>
          <w:szCs w:val="21"/>
        </w:rPr>
        <w:t>（数百家企业项目管理提升课程，提升整合员工工程管理能力，快速提升客户交付满意度）</w:t>
      </w:r>
    </w:p>
    <w:p>
      <w:pPr>
        <w:numPr>
          <w:ilvl w:val="0"/>
          <w:numId w:val="8"/>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《标杆房企工程管理之道与工程策划的管控要点及实战案例》</w:t>
      </w:r>
      <w:r>
        <w:rPr>
          <w:rFonts w:hint="eastAsia" w:ascii="微软雅黑" w:hAnsi="微软雅黑" w:eastAsia="微软雅黑" w:cs="微软雅黑"/>
          <w:b/>
          <w:color w:val="404040"/>
          <w:szCs w:val="21"/>
        </w:rPr>
        <w:t>（数百家企业项目管理提升课程，提升整合员工项目预判和预控管理能力）</w:t>
      </w:r>
    </w:p>
    <w:p>
      <w:pPr>
        <w:numPr>
          <w:ilvl w:val="0"/>
          <w:numId w:val="8"/>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《标杆房企工程管理之道与项目管理的管控要点及实战案例》</w:t>
      </w:r>
      <w:r>
        <w:rPr>
          <w:rFonts w:hint="eastAsia" w:ascii="微软雅黑" w:hAnsi="微软雅黑" w:eastAsia="微软雅黑" w:cs="微软雅黑"/>
          <w:b/>
          <w:color w:val="404040"/>
          <w:szCs w:val="21"/>
        </w:rPr>
        <w:t>（数百家企业项目管理提升课程，提升整合员工项目综合管理能力）</w:t>
      </w:r>
    </w:p>
    <w:p>
      <w:pPr>
        <w:numPr>
          <w:ilvl w:val="0"/>
          <w:numId w:val="8"/>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2" w:name="_Hlk118432381"/>
      <w:r>
        <w:rPr>
          <w:rFonts w:hint="eastAsia" w:ascii="微软雅黑" w:hAnsi="微软雅黑" w:eastAsia="微软雅黑" w:cs="微软雅黑"/>
          <w:color w:val="404040"/>
          <w:szCs w:val="21"/>
        </w:rPr>
        <w:t>工程精益管理</w:t>
      </w:r>
      <w:bookmarkEnd w:id="2"/>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color w:val="404040"/>
          <w:szCs w:val="21"/>
        </w:rPr>
        <w:t>（数百家企业项目管理提升课程，提升整合员工程精益管理能力，降低现场成本，消除浪费，提高效益）</w:t>
      </w:r>
    </w:p>
    <w:p>
      <w:pPr>
        <w:numPr>
          <w:ilvl w:val="0"/>
          <w:numId w:val="8"/>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《标杆房企旧城改造项目工程管理核心解析及实操案例》</w:t>
      </w:r>
      <w:r>
        <w:rPr>
          <w:rFonts w:hint="eastAsia" w:ascii="微软雅黑" w:hAnsi="微软雅黑" w:eastAsia="微软雅黑" w:cs="微软雅黑"/>
          <w:b/>
          <w:color w:val="404040"/>
          <w:szCs w:val="21"/>
        </w:rPr>
        <w:t>（针对标杆企业的旧改项目工程管理提升课程，提升整合员工旧改项目综合管理能力）</w:t>
      </w:r>
    </w:p>
    <w:p>
      <w:pPr>
        <w:numPr>
          <w:ilvl w:val="0"/>
          <w:numId w:val="8"/>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《标杆房企项目开发全流程管理核心解析及实战案例》</w:t>
      </w:r>
      <w:r>
        <w:rPr>
          <w:rFonts w:hint="eastAsia" w:ascii="微软雅黑" w:hAnsi="微软雅黑" w:eastAsia="微软雅黑" w:cs="微软雅黑"/>
          <w:b/>
          <w:color w:val="404040"/>
          <w:szCs w:val="21"/>
        </w:rPr>
        <w:t>（数百家企业项目管理提升课程，提升整合员工全流程管理意识能力，掌握项目开发全流程知识体系）</w:t>
      </w:r>
    </w:p>
    <w:p>
      <w:pPr>
        <w:numPr>
          <w:ilvl w:val="0"/>
          <w:numId w:val="8"/>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w:t>
      </w:r>
      <w:bookmarkStart w:id="3" w:name="_Hlk118432986"/>
      <w:r>
        <w:rPr>
          <w:rFonts w:hint="eastAsia" w:ascii="微软雅黑" w:hAnsi="微软雅黑" w:eastAsia="微软雅黑" w:cs="微软雅黑"/>
          <w:color w:val="404040"/>
          <w:szCs w:val="21"/>
        </w:rPr>
        <w:t>项目总角色定位与项目管理能力</w:t>
      </w:r>
      <w:bookmarkEnd w:id="3"/>
      <w:r>
        <w:rPr>
          <w:rFonts w:hint="eastAsia" w:ascii="微软雅黑" w:hAnsi="微软雅黑" w:eastAsia="微软雅黑" w:cs="微软雅黑"/>
          <w:color w:val="404040"/>
          <w:szCs w:val="21"/>
        </w:rPr>
        <w:t>提升及实战案例》（</w:t>
      </w:r>
      <w:r>
        <w:rPr>
          <w:rFonts w:hint="eastAsia" w:ascii="微软雅黑" w:hAnsi="微软雅黑" w:eastAsia="微软雅黑" w:cs="微软雅黑"/>
          <w:b/>
          <w:color w:val="404040"/>
          <w:szCs w:val="21"/>
        </w:rPr>
        <w:t>近百家企业管理提升课程，提升整合员工项目总角色定位与项目管理能力</w:t>
      </w:r>
      <w:r>
        <w:rPr>
          <w:rFonts w:hint="eastAsia" w:ascii="微软雅黑" w:hAnsi="微软雅黑" w:eastAsia="微软雅黑" w:cs="微软雅黑"/>
          <w:color w:val="404040"/>
          <w:szCs w:val="21"/>
        </w:rPr>
        <w:t>）</w:t>
      </w:r>
    </w:p>
    <w:p>
      <w:pPr>
        <w:numPr>
          <w:ilvl w:val="0"/>
          <w:numId w:val="8"/>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《标杆房企招采成本供方管控的管理要点及谈判实战案例》</w:t>
      </w:r>
      <w:r>
        <w:rPr>
          <w:rFonts w:hint="eastAsia" w:ascii="微软雅黑" w:hAnsi="微软雅黑" w:eastAsia="微软雅黑" w:cs="微软雅黑"/>
          <w:b/>
          <w:color w:val="404040"/>
          <w:szCs w:val="21"/>
        </w:rPr>
        <w:t>（数百家企业项目管理提升课程，提升整合员工项目供方管理能力，谈判管理意识）</w:t>
      </w:r>
    </w:p>
    <w:p>
      <w:pPr>
        <w:numPr>
          <w:ilvl w:val="0"/>
          <w:numId w:val="8"/>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《标杆房企项目总角色定位与全周期项目管理能力提升要点及实战案例》</w:t>
      </w:r>
      <w:r>
        <w:rPr>
          <w:rFonts w:hint="eastAsia" w:ascii="微软雅黑" w:hAnsi="微软雅黑" w:eastAsia="微软雅黑" w:cs="微软雅黑"/>
          <w:b/>
          <w:color w:val="404040"/>
          <w:szCs w:val="21"/>
        </w:rPr>
        <w:t>（近百家企业管理提升课程，提升员工项目总角色定位与全周期项目管理能力，把控项目目标</w:t>
      </w:r>
      <w:r>
        <w:rPr>
          <w:rFonts w:hint="eastAsia" w:ascii="微软雅黑" w:hAnsi="微软雅黑" w:eastAsia="微软雅黑" w:cs="微软雅黑"/>
          <w:bCs/>
          <w:color w:val="404040"/>
          <w:szCs w:val="21"/>
        </w:rPr>
        <w:t>）</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维度二：管理者自身和团队能力提升（4门课）</w:t>
      </w:r>
    </w:p>
    <w:p>
      <w:pPr>
        <w:numPr>
          <w:ilvl w:val="0"/>
          <w:numId w:val="9"/>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《标杆房企工程标准化和协同管理的管控要点及实战案例》</w:t>
      </w:r>
      <w:r>
        <w:rPr>
          <w:rFonts w:hint="eastAsia" w:ascii="微软雅黑" w:hAnsi="微软雅黑" w:eastAsia="微软雅黑" w:cs="微软雅黑"/>
          <w:b/>
          <w:color w:val="404040"/>
          <w:szCs w:val="21"/>
        </w:rPr>
        <w:t>（近百家企业内训课程，提升整合员工工程管理专业工程标准化和协同管理能力）</w:t>
      </w:r>
    </w:p>
    <w:p>
      <w:pPr>
        <w:numPr>
          <w:ilvl w:val="0"/>
          <w:numId w:val="9"/>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《标杆房企战略领导力培训》</w:t>
      </w:r>
      <w:r>
        <w:rPr>
          <w:rFonts w:hint="eastAsia" w:ascii="微软雅黑" w:hAnsi="微软雅黑" w:eastAsia="微软雅黑" w:cs="微软雅黑"/>
          <w:b/>
          <w:color w:val="404040"/>
          <w:szCs w:val="21"/>
        </w:rPr>
        <w:t>（近百家企业内训课程，提升整合员工战略领导力管理，打通多维管理意识）</w:t>
      </w:r>
    </w:p>
    <w:p>
      <w:pPr>
        <w:numPr>
          <w:ilvl w:val="0"/>
          <w:numId w:val="9"/>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《标杆房企工程跨部门沟通谈判的管控要点及实战案例》（</w:t>
      </w:r>
      <w:r>
        <w:rPr>
          <w:rFonts w:hint="eastAsia" w:ascii="微软雅黑" w:hAnsi="微软雅黑" w:eastAsia="微软雅黑" w:cs="微软雅黑"/>
          <w:b/>
          <w:color w:val="404040"/>
          <w:szCs w:val="21"/>
        </w:rPr>
        <w:t>近百家企业内训课程，提升整合员工跨部门沟通谈判管理能力，打通跨部门沟通谈判管理意识</w:t>
      </w:r>
      <w:r>
        <w:rPr>
          <w:rFonts w:hint="eastAsia" w:ascii="微软雅黑" w:hAnsi="微软雅黑" w:eastAsia="微软雅黑" w:cs="微软雅黑"/>
          <w:color w:val="404040"/>
          <w:szCs w:val="21"/>
        </w:rPr>
        <w:t>）</w:t>
      </w:r>
    </w:p>
    <w:p>
      <w:pPr>
        <w:numPr>
          <w:ilvl w:val="0"/>
          <w:numId w:val="9"/>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《标杆房企工程舆情及沟通谈判的管控要点及实战案例》（</w:t>
      </w:r>
      <w:r>
        <w:rPr>
          <w:rFonts w:hint="eastAsia" w:ascii="微软雅黑" w:hAnsi="微软雅黑" w:eastAsia="微软雅黑" w:cs="微软雅黑"/>
          <w:b/>
          <w:color w:val="404040"/>
          <w:szCs w:val="21"/>
        </w:rPr>
        <w:t>近百家企业内训课程，提升整合员工舆情及沟通谈判能力，打通舆情及沟通谈判管理意识</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维度三：专业技术管理类课程（1</w:t>
      </w:r>
      <w:r>
        <w:rPr>
          <w:rFonts w:ascii="微软雅黑" w:hAnsi="微软雅黑" w:eastAsia="微软雅黑" w:cs="微软雅黑"/>
          <w:b/>
          <w:color w:val="404040"/>
          <w:szCs w:val="21"/>
          <w:u w:val="single"/>
        </w:rPr>
        <w:t>3</w:t>
      </w:r>
      <w:r>
        <w:rPr>
          <w:rFonts w:hint="eastAsia" w:ascii="微软雅黑" w:hAnsi="微软雅黑" w:eastAsia="微软雅黑" w:cs="微软雅黑"/>
          <w:b/>
          <w:color w:val="404040"/>
          <w:szCs w:val="21"/>
          <w:u w:val="single"/>
        </w:rPr>
        <w:t>门课）</w:t>
      </w:r>
    </w:p>
    <w:p>
      <w:pPr>
        <w:numPr>
          <w:ilvl w:val="0"/>
          <w:numId w:val="10"/>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《标杆房企建筑零渗漏节点构造分析及实战案例》(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10"/>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《标杆房企工程管理之零渗漏防裂缝防塌陷体系》(</w:t>
      </w:r>
      <w:r>
        <w:rPr>
          <w:rFonts w:hint="eastAsia" w:ascii="微软雅黑" w:hAnsi="微软雅黑" w:eastAsia="微软雅黑" w:cs="微软雅黑"/>
          <w:b/>
          <w:color w:val="404040"/>
          <w:szCs w:val="21"/>
        </w:rPr>
        <w:t>多家央企零渗漏防裂缝防塌陷管理提升课程</w:t>
      </w:r>
      <w:r>
        <w:rPr>
          <w:rFonts w:hint="eastAsia" w:ascii="微软雅黑" w:hAnsi="微软雅黑" w:eastAsia="微软雅黑" w:cs="微软雅黑"/>
          <w:color w:val="404040"/>
          <w:szCs w:val="21"/>
        </w:rPr>
        <w:t>)</w:t>
      </w:r>
    </w:p>
    <w:p>
      <w:pPr>
        <w:numPr>
          <w:ilvl w:val="0"/>
          <w:numId w:val="10"/>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《标杆房企地下建筑沉降加固零渗漏节点构造分析及实战案例》(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11"/>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零渗漏体系的首倡者；房地产总工之家/技术联盟零渗漏专业工作委员会主任，建筑工业出版社出版建筑防水防渗漏标准化设计和施工图集，帮助数十家企业完成零渗漏体系培训和构建，实现每项目防渗漏过程成本优化数千万，防渗漏运维成本降低亿元的绩效；</w:t>
      </w:r>
    </w:p>
    <w:p>
      <w:pPr>
        <w:numPr>
          <w:ilvl w:val="0"/>
          <w:numId w:val="10"/>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《标杆房企工程管理之铝模体系的管理要点及实战案例》</w:t>
      </w:r>
      <w:r>
        <w:rPr>
          <w:rFonts w:hint="eastAsia" w:ascii="微软雅黑" w:hAnsi="微软雅黑" w:eastAsia="微软雅黑" w:cs="微软雅黑"/>
          <w:b/>
          <w:color w:val="404040"/>
          <w:szCs w:val="21"/>
        </w:rPr>
        <w:t>（多家地产铝模管理提升课程）</w:t>
      </w:r>
    </w:p>
    <w:p>
      <w:pPr>
        <w:numPr>
          <w:ilvl w:val="0"/>
          <w:numId w:val="10"/>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《标杆房企工程管理之PC体系的管理要点及实战案例》</w:t>
      </w:r>
      <w:r>
        <w:rPr>
          <w:rFonts w:hint="eastAsia" w:ascii="微软雅黑" w:hAnsi="微软雅黑" w:eastAsia="微软雅黑" w:cs="微软雅黑"/>
          <w:b/>
          <w:color w:val="404040"/>
          <w:szCs w:val="21"/>
        </w:rPr>
        <w:t>（多家地产PC管理提升课程）</w:t>
      </w:r>
    </w:p>
    <w:p>
      <w:pPr>
        <w:numPr>
          <w:ilvl w:val="0"/>
          <w:numId w:val="10"/>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《标杆房企工程管理之门窗体系的管理要点及实战案例》</w:t>
      </w:r>
      <w:r>
        <w:rPr>
          <w:rFonts w:hint="eastAsia" w:ascii="微软雅黑" w:hAnsi="微软雅黑" w:eastAsia="微软雅黑" w:cs="微软雅黑"/>
          <w:b/>
          <w:color w:val="404040"/>
          <w:szCs w:val="21"/>
        </w:rPr>
        <w:t>（华润门窗产品质量提升课程）</w:t>
      </w:r>
    </w:p>
    <w:p>
      <w:pPr>
        <w:numPr>
          <w:ilvl w:val="0"/>
          <w:numId w:val="10"/>
        </w:numPr>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《标杆房企工程管理之幕墙体系的管理要点及实战案例》（</w:t>
      </w:r>
      <w:r>
        <w:rPr>
          <w:rFonts w:hint="eastAsia" w:ascii="微软雅黑" w:hAnsi="微软雅黑" w:eastAsia="微软雅黑" w:cs="微软雅黑"/>
          <w:b/>
          <w:color w:val="404040"/>
          <w:szCs w:val="21"/>
        </w:rPr>
        <w:t>多家地产</w:t>
      </w:r>
      <w:r>
        <w:rPr>
          <w:rFonts w:hint="eastAsia" w:ascii="微软雅黑" w:hAnsi="微软雅黑" w:eastAsia="微软雅黑" w:cs="微软雅黑"/>
          <w:b/>
          <w:bCs/>
          <w:color w:val="404040"/>
          <w:szCs w:val="21"/>
        </w:rPr>
        <w:t>幕墙体系管</w:t>
      </w:r>
      <w:r>
        <w:rPr>
          <w:rFonts w:hint="eastAsia" w:ascii="微软雅黑" w:hAnsi="微软雅黑" w:eastAsia="微软雅黑" w:cs="微软雅黑"/>
          <w:b/>
          <w:color w:val="404040"/>
          <w:szCs w:val="21"/>
        </w:rPr>
        <w:t>理提升课程</w:t>
      </w:r>
      <w:r>
        <w:rPr>
          <w:rFonts w:hint="eastAsia" w:ascii="微软雅黑" w:hAnsi="微软雅黑" w:eastAsia="微软雅黑" w:cs="微软雅黑"/>
          <w:color w:val="404040"/>
          <w:szCs w:val="21"/>
        </w:rPr>
        <w:t>）</w:t>
      </w:r>
    </w:p>
    <w:p>
      <w:pPr>
        <w:numPr>
          <w:ilvl w:val="0"/>
          <w:numId w:val="11"/>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中国门窗幕墙标准化工作委员会专家委员，中国金属结构协会钢木门窗委员会专家委员，中国金属结构协会塑料门窗委员会副主任委员，中国建筑玻璃与工业玻璃协会专家委员；</w:t>
      </w:r>
    </w:p>
    <w:p>
      <w:pPr>
        <w:numPr>
          <w:ilvl w:val="0"/>
          <w:numId w:val="12"/>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《标杆房企工程管理之批量精装修管理要点和实战案例》</w:t>
      </w:r>
      <w:r>
        <w:rPr>
          <w:rFonts w:hint="eastAsia" w:ascii="微软雅黑" w:hAnsi="微软雅黑" w:eastAsia="微软雅黑" w:cs="微软雅黑"/>
          <w:b/>
          <w:color w:val="404040"/>
          <w:szCs w:val="21"/>
        </w:rPr>
        <w:t>（多家地产精装修管理提升课程）</w:t>
      </w:r>
    </w:p>
    <w:p>
      <w:pPr>
        <w:numPr>
          <w:ilvl w:val="0"/>
          <w:numId w:val="13"/>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全联房地产商会全装修产业分会首席专家，组织评选科技部精瑞奖评委；</w:t>
      </w:r>
    </w:p>
    <w:p>
      <w:pPr>
        <w:numPr>
          <w:ilvl w:val="0"/>
          <w:numId w:val="14"/>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《标杆房企绿色建筑、健康建筑与近零能耗建筑管理要点及实战案例》</w:t>
      </w:r>
      <w:r>
        <w:rPr>
          <w:rFonts w:hint="eastAsia" w:ascii="微软雅黑" w:hAnsi="微软雅黑" w:eastAsia="微软雅黑" w:cs="微软雅黑"/>
          <w:b/>
          <w:color w:val="404040"/>
          <w:szCs w:val="21"/>
        </w:rPr>
        <w:t>（多家央企绿建管理提升课程）</w:t>
      </w:r>
    </w:p>
    <w:p>
      <w:pPr>
        <w:numPr>
          <w:ilvl w:val="0"/>
          <w:numId w:val="11"/>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中国绿色建筑委员会委员，作为当代首席工程师组织当代获得50多项项目绿建星级评定，获得LEED铂金，健康宅等多项科技绿色住宅奖项；</w:t>
      </w:r>
    </w:p>
    <w:p>
      <w:pPr>
        <w:numPr>
          <w:ilvl w:val="0"/>
          <w:numId w:val="14"/>
        </w:numPr>
        <w:spacing w:line="360" w:lineRule="auto"/>
        <w:ind w:left="284" w:hanging="284"/>
        <w:rPr>
          <w:rFonts w:hint="eastAsia" w:ascii="微软雅黑" w:hAnsi="微软雅黑" w:eastAsia="微软雅黑" w:cs="微软雅黑"/>
          <w:color w:val="404040"/>
          <w:szCs w:val="21"/>
          <w:highlight w:val="yellow"/>
        </w:rPr>
      </w:pPr>
      <w:r>
        <w:rPr>
          <w:rFonts w:hint="eastAsia" w:ascii="微软雅黑" w:hAnsi="微软雅黑" w:eastAsia="微软雅黑" w:cs="微软雅黑"/>
          <w:color w:val="404040"/>
          <w:szCs w:val="21"/>
          <w:highlight w:val="yellow"/>
        </w:rPr>
        <w:t>《标杆房企新技术新工艺新材料及技术管理创新要点及实战案例》</w:t>
      </w:r>
      <w:r>
        <w:rPr>
          <w:rFonts w:hint="eastAsia" w:ascii="微软雅黑" w:hAnsi="微软雅黑" w:eastAsia="微软雅黑" w:cs="微软雅黑"/>
          <w:b/>
          <w:color w:val="404040"/>
          <w:szCs w:val="21"/>
          <w:highlight w:val="yellow"/>
        </w:rPr>
        <w:t>（多家央企工程新技术新工艺新材料管理提升课程）</w:t>
      </w:r>
    </w:p>
    <w:p>
      <w:pPr>
        <w:numPr>
          <w:ilvl w:val="0"/>
          <w:numId w:val="14"/>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《疫情时代的房企工程管理产品品质提升助力项目营销》（</w:t>
      </w:r>
      <w:r>
        <w:rPr>
          <w:rFonts w:hint="eastAsia" w:ascii="微软雅黑" w:hAnsi="微软雅黑" w:eastAsia="微软雅黑" w:cs="微软雅黑"/>
          <w:b/>
          <w:color w:val="404040"/>
          <w:szCs w:val="21"/>
        </w:rPr>
        <w:t>多家央企产品防疫品质管理提升课程</w:t>
      </w:r>
      <w:r>
        <w:rPr>
          <w:rFonts w:hint="eastAsia" w:ascii="微软雅黑" w:hAnsi="微软雅黑" w:eastAsia="微软雅黑" w:cs="微软雅黑"/>
          <w:color w:val="404040"/>
          <w:szCs w:val="21"/>
        </w:rPr>
        <w:t>）</w:t>
      </w:r>
    </w:p>
    <w:p>
      <w:pPr>
        <w:numPr>
          <w:ilvl w:val="0"/>
          <w:numId w:val="10"/>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《工程管理专业之钢结构体系管理要点及实战案例》</w:t>
      </w:r>
      <w:r>
        <w:rPr>
          <w:rFonts w:hint="eastAsia" w:ascii="微软雅黑" w:hAnsi="微软雅黑" w:eastAsia="微软雅黑" w:cs="微软雅黑"/>
          <w:b/>
          <w:bCs/>
          <w:color w:val="404040"/>
          <w:szCs w:val="21"/>
        </w:rPr>
        <w:t>（全国首门地产住宅钢结构体系培训课程）</w:t>
      </w:r>
    </w:p>
    <w:p>
      <w:pPr>
        <w:numPr>
          <w:ilvl w:val="0"/>
          <w:numId w:val="10"/>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4" w:name="_Hlk118436183"/>
      <w:r>
        <w:rPr>
          <w:rFonts w:hint="eastAsia" w:ascii="微软雅黑" w:hAnsi="微软雅黑" w:eastAsia="微软雅黑" w:cs="微软雅黑"/>
          <w:color w:val="404040"/>
          <w:szCs w:val="21"/>
        </w:rPr>
        <w:t>安全管理</w:t>
      </w:r>
      <w:bookmarkEnd w:id="4"/>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bCs/>
          <w:color w:val="404040"/>
          <w:szCs w:val="21"/>
        </w:rPr>
        <w:t>多家地产安全防护管理提升课程</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bookmarkStart w:id="5" w:name="_Hlk118342151"/>
      <w:r>
        <w:rPr>
          <w:rFonts w:hint="eastAsia" w:ascii="微软雅黑" w:hAnsi="微软雅黑" w:eastAsia="微软雅黑" w:cs="微软雅黑"/>
          <w:b/>
          <w:color w:val="404040"/>
          <w:szCs w:val="21"/>
          <w:u w:val="single"/>
        </w:rPr>
        <w:t>维度四：计划管理类课程（</w:t>
      </w:r>
      <w:r>
        <w:rPr>
          <w:rFonts w:ascii="微软雅黑" w:hAnsi="微软雅黑" w:eastAsia="微软雅黑" w:cs="微软雅黑"/>
          <w:b/>
          <w:color w:val="404040"/>
          <w:szCs w:val="21"/>
          <w:u w:val="single"/>
        </w:rPr>
        <w:t>2</w:t>
      </w:r>
      <w:r>
        <w:rPr>
          <w:rFonts w:hint="eastAsia" w:ascii="微软雅黑" w:hAnsi="微软雅黑" w:eastAsia="微软雅黑" w:cs="微软雅黑"/>
          <w:b/>
          <w:color w:val="404040"/>
          <w:szCs w:val="21"/>
          <w:u w:val="single"/>
        </w:rPr>
        <w:t>门课）</w:t>
      </w:r>
    </w:p>
    <w:bookmarkEnd w:id="5"/>
    <w:p>
      <w:pPr>
        <w:numPr>
          <w:ilvl w:val="0"/>
          <w:numId w:val="1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6" w:name="_Hlk118437736"/>
      <w:r>
        <w:rPr>
          <w:rFonts w:hint="eastAsia" w:ascii="微软雅黑" w:hAnsi="微软雅黑" w:eastAsia="微软雅黑" w:cs="微软雅黑"/>
          <w:color w:val="404040"/>
          <w:szCs w:val="21"/>
        </w:rPr>
        <w:t>保交付</w:t>
      </w:r>
      <w:bookmarkEnd w:id="6"/>
      <w:r>
        <w:rPr>
          <w:rFonts w:hint="eastAsia" w:ascii="微软雅黑" w:hAnsi="微软雅黑" w:eastAsia="微软雅黑" w:cs="微软雅黑"/>
          <w:color w:val="404040"/>
          <w:szCs w:val="21"/>
        </w:rPr>
        <w:t>保质量下的工</w:t>
      </w:r>
      <w:bookmarkStart w:id="7" w:name="_Hlk118437723"/>
      <w:r>
        <w:rPr>
          <w:rFonts w:hint="eastAsia" w:ascii="微软雅黑" w:hAnsi="微软雅黑" w:eastAsia="微软雅黑" w:cs="微软雅黑"/>
          <w:color w:val="404040"/>
          <w:szCs w:val="21"/>
        </w:rPr>
        <w:t>程穿插提效快速施工</w:t>
      </w:r>
      <w:bookmarkEnd w:id="7"/>
      <w:r>
        <w:rPr>
          <w:rFonts w:hint="eastAsia" w:ascii="微软雅黑" w:hAnsi="微软雅黑" w:eastAsia="微软雅黑" w:cs="微软雅黑"/>
          <w:color w:val="404040"/>
          <w:szCs w:val="21"/>
        </w:rPr>
        <w:t>管理要点及实战案例》</w:t>
      </w:r>
      <w:r>
        <w:rPr>
          <w:rFonts w:hint="eastAsia" w:ascii="微软雅黑" w:hAnsi="微软雅黑" w:eastAsia="微软雅黑" w:cs="微软雅黑"/>
          <w:b/>
          <w:color w:val="404040"/>
          <w:szCs w:val="21"/>
        </w:rPr>
        <w:t>（多家央企保交付工程穿插提效快速施工管理提升课程）</w:t>
      </w:r>
    </w:p>
    <w:p>
      <w:pPr>
        <w:numPr>
          <w:ilvl w:val="0"/>
          <w:numId w:val="14"/>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《工业地产项目管理之穿插施工管理要点及实战案例》</w:t>
      </w:r>
      <w:r>
        <w:rPr>
          <w:rFonts w:hint="eastAsia" w:ascii="微软雅黑" w:hAnsi="微软雅黑" w:eastAsia="微软雅黑" w:cs="微软雅黑"/>
          <w:b/>
          <w:color w:val="404040"/>
          <w:szCs w:val="21"/>
        </w:rPr>
        <w:t>（多家央企工业地产项目穿插施工管理提升课程）</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维度五：施工管理类课程（</w:t>
      </w:r>
      <w:r>
        <w:rPr>
          <w:rFonts w:ascii="微软雅黑" w:hAnsi="微软雅黑" w:eastAsia="微软雅黑" w:cs="微软雅黑"/>
          <w:b/>
          <w:color w:val="404040"/>
          <w:szCs w:val="21"/>
          <w:u w:val="single"/>
        </w:rPr>
        <w:t>7</w:t>
      </w:r>
      <w:r>
        <w:rPr>
          <w:rFonts w:hint="eastAsia" w:ascii="微软雅黑" w:hAnsi="微软雅黑" w:eastAsia="微软雅黑" w:cs="微软雅黑"/>
          <w:b/>
          <w:color w:val="404040"/>
          <w:szCs w:val="21"/>
          <w:u w:val="single"/>
        </w:rPr>
        <w:t>门课）</w:t>
      </w:r>
    </w:p>
    <w:p>
      <w:pPr>
        <w:numPr>
          <w:ilvl w:val="0"/>
          <w:numId w:val="1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8" w:name="_Hlk118438008"/>
      <w:r>
        <w:rPr>
          <w:rFonts w:hint="eastAsia" w:ascii="微软雅黑" w:hAnsi="微软雅黑" w:eastAsia="微软雅黑" w:cs="微软雅黑"/>
          <w:color w:val="404040"/>
          <w:szCs w:val="21"/>
        </w:rPr>
        <w:t>地基基础施工工艺</w:t>
      </w:r>
      <w:bookmarkEnd w:id="8"/>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b/>
          <w:color w:val="404040"/>
          <w:szCs w:val="21"/>
        </w:rPr>
        <w:t>（岩土工程专业地基基础施工工艺管理提升课程）</w:t>
      </w:r>
    </w:p>
    <w:p>
      <w:pPr>
        <w:numPr>
          <w:ilvl w:val="0"/>
          <w:numId w:val="15"/>
        </w:numPr>
        <w:adjustRightInd w:val="0"/>
        <w:snapToGrid w:val="0"/>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《地下工程盾构施工工艺管控要点及实战案例》</w:t>
      </w:r>
      <w:r>
        <w:rPr>
          <w:rFonts w:hint="eastAsia" w:ascii="微软雅黑" w:hAnsi="微软雅黑" w:eastAsia="微软雅黑" w:cs="微软雅黑"/>
          <w:b/>
          <w:color w:val="404040"/>
          <w:szCs w:val="21"/>
        </w:rPr>
        <w:t>（岩土工程专业路桥隧道专业施工工艺管理提升课程）</w:t>
      </w:r>
    </w:p>
    <w:p>
      <w:pPr>
        <w:numPr>
          <w:ilvl w:val="0"/>
          <w:numId w:val="1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主体结构施工工艺管控要点及实战案例》</w:t>
      </w:r>
      <w:r>
        <w:rPr>
          <w:rFonts w:hint="eastAsia" w:ascii="微软雅黑" w:hAnsi="微软雅黑" w:eastAsia="微软雅黑" w:cs="微软雅黑"/>
          <w:b/>
          <w:color w:val="404040"/>
          <w:szCs w:val="21"/>
        </w:rPr>
        <w:t>（土建工程专业主体结构施工工艺管理提升课程）</w:t>
      </w:r>
    </w:p>
    <w:p>
      <w:pPr>
        <w:numPr>
          <w:ilvl w:val="0"/>
          <w:numId w:val="1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bookmarkStart w:id="9" w:name="_Hlk118438098"/>
      <w:r>
        <w:rPr>
          <w:rFonts w:hint="eastAsia" w:ascii="微软雅黑" w:hAnsi="微软雅黑" w:eastAsia="微软雅黑" w:cs="微软雅黑"/>
          <w:color w:val="404040"/>
          <w:szCs w:val="21"/>
        </w:rPr>
        <w:t>装饰装修施工工艺</w:t>
      </w:r>
      <w:bookmarkEnd w:id="9"/>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（土建工程专业装饰装修施工工艺管理提升课程）</w:t>
      </w:r>
    </w:p>
    <w:p>
      <w:pPr>
        <w:numPr>
          <w:ilvl w:val="0"/>
          <w:numId w:val="1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防水工程施工工艺管控要点及实战案例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（土建工程专业防水工程施工工艺管理提升课程）</w:t>
      </w:r>
    </w:p>
    <w:p>
      <w:pPr>
        <w:numPr>
          <w:ilvl w:val="0"/>
          <w:numId w:val="1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安全生产</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（多家总承包央企工程项目安全生产管理提升课程）</w:t>
      </w:r>
    </w:p>
    <w:p>
      <w:pPr>
        <w:numPr>
          <w:ilvl w:val="0"/>
          <w:numId w:val="14"/>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《工程</w:t>
      </w:r>
      <w:bookmarkStart w:id="10" w:name="_Hlk118438294"/>
      <w:r>
        <w:rPr>
          <w:rFonts w:hint="eastAsia" w:ascii="微软雅黑" w:hAnsi="微软雅黑" w:eastAsia="微软雅黑" w:cs="微软雅黑"/>
          <w:color w:val="404040"/>
          <w:szCs w:val="21"/>
        </w:rPr>
        <w:t>总承包</w:t>
      </w:r>
      <w:bookmarkEnd w:id="10"/>
      <w:r>
        <w:rPr>
          <w:rFonts w:hint="eastAsia" w:ascii="微软雅黑" w:hAnsi="微软雅黑" w:eastAsia="微软雅黑" w:cs="微软雅黑"/>
          <w:color w:val="404040"/>
          <w:szCs w:val="21"/>
        </w:rPr>
        <w:t>工程管理之道与项目管理的管控要点及实战案例》</w:t>
      </w:r>
      <w:r>
        <w:rPr>
          <w:rFonts w:hint="eastAsia" w:ascii="微软雅黑" w:hAnsi="微软雅黑" w:eastAsia="微软雅黑" w:cs="微软雅黑"/>
          <w:b/>
          <w:color w:val="404040"/>
          <w:szCs w:val="21"/>
        </w:rPr>
        <w:t>（多家总承包央企工程项目总承包管理提升课程）</w:t>
      </w:r>
    </w:p>
    <w:sectPr>
      <w:footerReference r:id="rId3" w:type="default"/>
      <w:pgSz w:w="16783" w:h="23757"/>
      <w:pgMar w:top="851" w:right="567" w:bottom="567" w:left="567" w:header="851" w:footer="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4855"/>
        <w:tab w:val="clear" w:pos="4153"/>
      </w:tabs>
      <w:rPr>
        <w:rFonts w:hint="eastAsia"/>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8B703C"/>
    <w:multiLevelType w:val="multilevel"/>
    <w:tmpl w:val="008B703C"/>
    <w:lvl w:ilvl="0" w:tentative="0">
      <w:start w:val="1"/>
      <w:numFmt w:val="decimal"/>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
    <w:nsid w:val="138A4399"/>
    <w:multiLevelType w:val="multilevel"/>
    <w:tmpl w:val="138A43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159B001E"/>
    <w:multiLevelType w:val="multilevel"/>
    <w:tmpl w:val="159B001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
    <w:nsid w:val="28F049A7"/>
    <w:multiLevelType w:val="multilevel"/>
    <w:tmpl w:val="28F049A7"/>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4">
    <w:nsid w:val="2AA52E93"/>
    <w:multiLevelType w:val="multilevel"/>
    <w:tmpl w:val="2AA52E93"/>
    <w:lvl w:ilvl="0" w:tentative="0">
      <w:start w:val="1"/>
      <w:numFmt w:val="japaneseCounting"/>
      <w:lvlText w:val="%1、"/>
      <w:lvlJc w:val="left"/>
      <w:pPr>
        <w:ind w:left="720" w:hanging="720"/>
      </w:pPr>
      <w:rPr>
        <w:rFonts w:hint="default"/>
      </w:rPr>
    </w:lvl>
    <w:lvl w:ilvl="1" w:tentative="0">
      <w:start w:val="1"/>
      <w:numFmt w:val="decimal"/>
      <w:lvlText w:val="%2."/>
      <w:lvlJc w:val="left"/>
      <w:pPr>
        <w:ind w:left="840" w:hanging="420"/>
      </w:pPr>
      <w:rPr>
        <w:rFonts w:hint="eastAsia"/>
      </w:rPr>
    </w:lvl>
    <w:lvl w:ilvl="2" w:tentative="0">
      <w:start w:val="1"/>
      <w:numFmt w:val="bullet"/>
      <w:lvlText w:val=""/>
      <w:lvlJc w:val="left"/>
      <w:pPr>
        <w:ind w:left="1260" w:hanging="420"/>
      </w:pPr>
      <w:rPr>
        <w:rFonts w:hint="default" w:ascii="Wingdings" w:hAnsi="Wingdings"/>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2ABA6408"/>
    <w:multiLevelType w:val="multilevel"/>
    <w:tmpl w:val="2ABA6408"/>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6">
    <w:nsid w:val="2E5D5100"/>
    <w:multiLevelType w:val="multilevel"/>
    <w:tmpl w:val="2E5D5100"/>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
    <w:nsid w:val="52583179"/>
    <w:multiLevelType w:val="multilevel"/>
    <w:tmpl w:val="52583179"/>
    <w:lvl w:ilvl="0" w:tentative="0">
      <w:start w:val="1"/>
      <w:numFmt w:val="decimal"/>
      <w:lvlText w:val="%1."/>
      <w:lvlJc w:val="left"/>
      <w:pPr>
        <w:ind w:left="1260" w:hanging="420"/>
      </w:pPr>
      <w:rPr>
        <w:rFonts w:hint="eastAsia"/>
      </w:rPr>
    </w:lvl>
    <w:lvl w:ilvl="1" w:tentative="0">
      <w:start w:val="1"/>
      <w:numFmt w:val="bullet"/>
      <w:lvlText w:val=""/>
      <w:lvlJc w:val="left"/>
      <w:pPr>
        <w:ind w:left="1680" w:hanging="420"/>
      </w:pPr>
      <w:rPr>
        <w:rFonts w:hint="default" w:ascii="Wingdings" w:hAnsi="Wingdings"/>
      </w:r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8">
    <w:nsid w:val="5ACE535F"/>
    <w:multiLevelType w:val="multilevel"/>
    <w:tmpl w:val="5ACE535F"/>
    <w:lvl w:ilvl="0" w:tentative="0">
      <w:start w:val="1"/>
      <w:numFmt w:val="bullet"/>
      <w:lvlText w:val=""/>
      <w:lvlJc w:val="left"/>
      <w:pPr>
        <w:ind w:left="842" w:hanging="420"/>
      </w:pPr>
      <w:rPr>
        <w:rFonts w:hint="default" w:ascii="Wingdings" w:hAnsi="Wingdings"/>
      </w:rPr>
    </w:lvl>
    <w:lvl w:ilvl="1" w:tentative="0">
      <w:start w:val="1"/>
      <w:numFmt w:val="bullet"/>
      <w:lvlText w:val=""/>
      <w:lvlJc w:val="left"/>
      <w:pPr>
        <w:ind w:left="1262" w:hanging="420"/>
      </w:pPr>
      <w:rPr>
        <w:rFonts w:hint="default" w:ascii="Wingdings" w:hAnsi="Wingdings"/>
      </w:rPr>
    </w:lvl>
    <w:lvl w:ilvl="2" w:tentative="0">
      <w:start w:val="1"/>
      <w:numFmt w:val="bullet"/>
      <w:lvlText w:val=""/>
      <w:lvlJc w:val="left"/>
      <w:pPr>
        <w:ind w:left="1682" w:hanging="420"/>
      </w:pPr>
      <w:rPr>
        <w:rFonts w:hint="default" w:ascii="Wingdings" w:hAnsi="Wingdings"/>
      </w:rPr>
    </w:lvl>
    <w:lvl w:ilvl="3" w:tentative="0">
      <w:start w:val="1"/>
      <w:numFmt w:val="bullet"/>
      <w:lvlText w:val=""/>
      <w:lvlJc w:val="left"/>
      <w:pPr>
        <w:ind w:left="2102" w:hanging="420"/>
      </w:pPr>
      <w:rPr>
        <w:rFonts w:hint="default" w:ascii="Wingdings" w:hAnsi="Wingdings"/>
      </w:rPr>
    </w:lvl>
    <w:lvl w:ilvl="4" w:tentative="0">
      <w:start w:val="1"/>
      <w:numFmt w:val="bullet"/>
      <w:lvlText w:val=""/>
      <w:lvlJc w:val="left"/>
      <w:pPr>
        <w:ind w:left="2522" w:hanging="420"/>
      </w:pPr>
      <w:rPr>
        <w:rFonts w:hint="default" w:ascii="Wingdings" w:hAnsi="Wingdings"/>
      </w:rPr>
    </w:lvl>
    <w:lvl w:ilvl="5" w:tentative="0">
      <w:start w:val="1"/>
      <w:numFmt w:val="bullet"/>
      <w:lvlText w:val=""/>
      <w:lvlJc w:val="left"/>
      <w:pPr>
        <w:ind w:left="2942" w:hanging="420"/>
      </w:pPr>
      <w:rPr>
        <w:rFonts w:hint="default" w:ascii="Wingdings" w:hAnsi="Wingdings"/>
      </w:rPr>
    </w:lvl>
    <w:lvl w:ilvl="6" w:tentative="0">
      <w:start w:val="1"/>
      <w:numFmt w:val="bullet"/>
      <w:lvlText w:val=""/>
      <w:lvlJc w:val="left"/>
      <w:pPr>
        <w:ind w:left="3362" w:hanging="420"/>
      </w:pPr>
      <w:rPr>
        <w:rFonts w:hint="default" w:ascii="Wingdings" w:hAnsi="Wingdings"/>
      </w:rPr>
    </w:lvl>
    <w:lvl w:ilvl="7" w:tentative="0">
      <w:start w:val="1"/>
      <w:numFmt w:val="bullet"/>
      <w:lvlText w:val=""/>
      <w:lvlJc w:val="left"/>
      <w:pPr>
        <w:ind w:left="3782" w:hanging="420"/>
      </w:pPr>
      <w:rPr>
        <w:rFonts w:hint="default" w:ascii="Wingdings" w:hAnsi="Wingdings"/>
      </w:rPr>
    </w:lvl>
    <w:lvl w:ilvl="8" w:tentative="0">
      <w:start w:val="1"/>
      <w:numFmt w:val="bullet"/>
      <w:lvlText w:val=""/>
      <w:lvlJc w:val="left"/>
      <w:pPr>
        <w:ind w:left="4202" w:hanging="420"/>
      </w:pPr>
      <w:rPr>
        <w:rFonts w:hint="default" w:ascii="Wingdings" w:hAnsi="Wingdings"/>
      </w:rPr>
    </w:lvl>
  </w:abstractNum>
  <w:abstractNum w:abstractNumId="9">
    <w:nsid w:val="5F266DA0"/>
    <w:multiLevelType w:val="multilevel"/>
    <w:tmpl w:val="5F266DA0"/>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0">
    <w:nsid w:val="674C153E"/>
    <w:multiLevelType w:val="multilevel"/>
    <w:tmpl w:val="674C153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1">
    <w:nsid w:val="6B991B29"/>
    <w:multiLevelType w:val="multilevel"/>
    <w:tmpl w:val="6B991B2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2">
    <w:nsid w:val="7C2B5D99"/>
    <w:multiLevelType w:val="multilevel"/>
    <w:tmpl w:val="7C2B5D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 w:numId="2">
    <w:abstractNumId w:val="4"/>
  </w:num>
  <w:num w:numId="3">
    <w:abstractNumId w:val="7"/>
  </w:num>
  <w:num w:numId="4">
    <w:abstractNumId w:val="9"/>
  </w:num>
  <w:num w:numId="5">
    <w:abstractNumId w:val="3"/>
  </w:num>
  <w:num w:numId="6">
    <w:abstractNumId w:val="5"/>
  </w:num>
  <w:num w:numId="7">
    <w:abstractNumId w:val="12"/>
  </w:num>
  <w:num w:numId="8">
    <w:abstractNumId w:val="1"/>
  </w:num>
  <w:num w:numId="9">
    <w:abstractNumId w:val="6"/>
  </w:num>
  <w:num w:numId="10">
    <w:abstractNumId w:val="11"/>
  </w:num>
  <w:num w:numId="11">
    <w:abstractNumId w:val="8"/>
  </w:num>
  <w:num w:numId="12">
    <w:abstractNumId w:val="2"/>
  </w:num>
  <w:num w:numId="13">
    <w:abstractNumId w:val="8"/>
  </w:num>
  <w:num w:numId="14">
    <w:abstractNumId w:val="2"/>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5514"/>
    <w:rsid w:val="00003AEB"/>
    <w:rsid w:val="00022464"/>
    <w:rsid w:val="00031890"/>
    <w:rsid w:val="000419D8"/>
    <w:rsid w:val="0006055E"/>
    <w:rsid w:val="00075514"/>
    <w:rsid w:val="00096D6F"/>
    <w:rsid w:val="000A6E61"/>
    <w:rsid w:val="000B6C4B"/>
    <w:rsid w:val="0013013A"/>
    <w:rsid w:val="001370B5"/>
    <w:rsid w:val="00151DB4"/>
    <w:rsid w:val="001859B2"/>
    <w:rsid w:val="00191555"/>
    <w:rsid w:val="00194F86"/>
    <w:rsid w:val="001C391F"/>
    <w:rsid w:val="001E0A5E"/>
    <w:rsid w:val="001F062C"/>
    <w:rsid w:val="001F5DEC"/>
    <w:rsid w:val="00212255"/>
    <w:rsid w:val="002170AA"/>
    <w:rsid w:val="00222A87"/>
    <w:rsid w:val="002242E7"/>
    <w:rsid w:val="002555A4"/>
    <w:rsid w:val="00286226"/>
    <w:rsid w:val="00290A2A"/>
    <w:rsid w:val="00291C6C"/>
    <w:rsid w:val="002D6EF4"/>
    <w:rsid w:val="0031596C"/>
    <w:rsid w:val="0032733F"/>
    <w:rsid w:val="00327FA9"/>
    <w:rsid w:val="00350713"/>
    <w:rsid w:val="003578B2"/>
    <w:rsid w:val="00363BA6"/>
    <w:rsid w:val="003728E5"/>
    <w:rsid w:val="003845C8"/>
    <w:rsid w:val="0039186B"/>
    <w:rsid w:val="003E45B1"/>
    <w:rsid w:val="003E619C"/>
    <w:rsid w:val="00404613"/>
    <w:rsid w:val="00407036"/>
    <w:rsid w:val="004179C2"/>
    <w:rsid w:val="00423F1E"/>
    <w:rsid w:val="00425CCD"/>
    <w:rsid w:val="00475856"/>
    <w:rsid w:val="00486FFE"/>
    <w:rsid w:val="004878F0"/>
    <w:rsid w:val="00490B8B"/>
    <w:rsid w:val="00496CDE"/>
    <w:rsid w:val="004A76BE"/>
    <w:rsid w:val="004E1C26"/>
    <w:rsid w:val="004E4AC7"/>
    <w:rsid w:val="00531E46"/>
    <w:rsid w:val="00555B66"/>
    <w:rsid w:val="0057484C"/>
    <w:rsid w:val="0058697F"/>
    <w:rsid w:val="00596E95"/>
    <w:rsid w:val="005A0CDB"/>
    <w:rsid w:val="005B6F0C"/>
    <w:rsid w:val="00613DF5"/>
    <w:rsid w:val="00633068"/>
    <w:rsid w:val="00633212"/>
    <w:rsid w:val="00641B4A"/>
    <w:rsid w:val="0066089E"/>
    <w:rsid w:val="0067469A"/>
    <w:rsid w:val="006872AA"/>
    <w:rsid w:val="00687D03"/>
    <w:rsid w:val="00693EF4"/>
    <w:rsid w:val="006D3DEF"/>
    <w:rsid w:val="006E00AA"/>
    <w:rsid w:val="006F6674"/>
    <w:rsid w:val="00700C5F"/>
    <w:rsid w:val="007348CC"/>
    <w:rsid w:val="00736909"/>
    <w:rsid w:val="007726F3"/>
    <w:rsid w:val="007B03E7"/>
    <w:rsid w:val="007B451A"/>
    <w:rsid w:val="007D67FE"/>
    <w:rsid w:val="00802A72"/>
    <w:rsid w:val="008470BF"/>
    <w:rsid w:val="00880FA6"/>
    <w:rsid w:val="008852AA"/>
    <w:rsid w:val="00885472"/>
    <w:rsid w:val="00890ED2"/>
    <w:rsid w:val="00894B58"/>
    <w:rsid w:val="008952AF"/>
    <w:rsid w:val="008972ED"/>
    <w:rsid w:val="008C74AB"/>
    <w:rsid w:val="008F4FC4"/>
    <w:rsid w:val="009031C7"/>
    <w:rsid w:val="00922DFA"/>
    <w:rsid w:val="00956296"/>
    <w:rsid w:val="0097034A"/>
    <w:rsid w:val="0098470E"/>
    <w:rsid w:val="009948BD"/>
    <w:rsid w:val="009A6653"/>
    <w:rsid w:val="009E7AED"/>
    <w:rsid w:val="009F5577"/>
    <w:rsid w:val="00A13F1E"/>
    <w:rsid w:val="00A236B2"/>
    <w:rsid w:val="00A375F8"/>
    <w:rsid w:val="00A522F0"/>
    <w:rsid w:val="00A54B56"/>
    <w:rsid w:val="00A649BA"/>
    <w:rsid w:val="00A76C3F"/>
    <w:rsid w:val="00A80D66"/>
    <w:rsid w:val="00A86084"/>
    <w:rsid w:val="00A8706F"/>
    <w:rsid w:val="00AB647E"/>
    <w:rsid w:val="00AB6F04"/>
    <w:rsid w:val="00AC5E27"/>
    <w:rsid w:val="00AE1EB2"/>
    <w:rsid w:val="00AE7AEF"/>
    <w:rsid w:val="00AF2BA7"/>
    <w:rsid w:val="00AF46FE"/>
    <w:rsid w:val="00B24901"/>
    <w:rsid w:val="00B40F89"/>
    <w:rsid w:val="00B55571"/>
    <w:rsid w:val="00B63AE3"/>
    <w:rsid w:val="00B65FDE"/>
    <w:rsid w:val="00B758E5"/>
    <w:rsid w:val="00BA370E"/>
    <w:rsid w:val="00BA5203"/>
    <w:rsid w:val="00BB4745"/>
    <w:rsid w:val="00BB5034"/>
    <w:rsid w:val="00BF7C13"/>
    <w:rsid w:val="00C00C29"/>
    <w:rsid w:val="00C064AA"/>
    <w:rsid w:val="00C25673"/>
    <w:rsid w:val="00C4273D"/>
    <w:rsid w:val="00C44A43"/>
    <w:rsid w:val="00C44ECE"/>
    <w:rsid w:val="00C62174"/>
    <w:rsid w:val="00C64D9B"/>
    <w:rsid w:val="00C675A5"/>
    <w:rsid w:val="00C819D0"/>
    <w:rsid w:val="00C92DE5"/>
    <w:rsid w:val="00CA00AE"/>
    <w:rsid w:val="00CA6916"/>
    <w:rsid w:val="00CC2515"/>
    <w:rsid w:val="00CD3FC3"/>
    <w:rsid w:val="00CF24E5"/>
    <w:rsid w:val="00D225D1"/>
    <w:rsid w:val="00D70625"/>
    <w:rsid w:val="00D80B19"/>
    <w:rsid w:val="00DA56A6"/>
    <w:rsid w:val="00DB1FC0"/>
    <w:rsid w:val="00DB69F1"/>
    <w:rsid w:val="00DB7CD7"/>
    <w:rsid w:val="00DC2B6C"/>
    <w:rsid w:val="00DE3153"/>
    <w:rsid w:val="00DF631C"/>
    <w:rsid w:val="00E0315A"/>
    <w:rsid w:val="00E41902"/>
    <w:rsid w:val="00E44D73"/>
    <w:rsid w:val="00E52396"/>
    <w:rsid w:val="00E677AD"/>
    <w:rsid w:val="00E943B1"/>
    <w:rsid w:val="00EE02BD"/>
    <w:rsid w:val="00F14529"/>
    <w:rsid w:val="00F21560"/>
    <w:rsid w:val="00F327BC"/>
    <w:rsid w:val="00F33920"/>
    <w:rsid w:val="00F344EB"/>
    <w:rsid w:val="00F366B6"/>
    <w:rsid w:val="00F44241"/>
    <w:rsid w:val="00F92274"/>
    <w:rsid w:val="00FA78C9"/>
    <w:rsid w:val="00FB5406"/>
    <w:rsid w:val="00FB714A"/>
    <w:rsid w:val="00FF0C2C"/>
    <w:rsid w:val="062250B0"/>
    <w:rsid w:val="077310CE"/>
    <w:rsid w:val="08026160"/>
    <w:rsid w:val="0A9F13F9"/>
    <w:rsid w:val="0F0224E9"/>
    <w:rsid w:val="10174529"/>
    <w:rsid w:val="12134AFE"/>
    <w:rsid w:val="12C27CAC"/>
    <w:rsid w:val="13CA01C9"/>
    <w:rsid w:val="1B063336"/>
    <w:rsid w:val="1DE967E9"/>
    <w:rsid w:val="1F7428E8"/>
    <w:rsid w:val="218D74D5"/>
    <w:rsid w:val="226A4962"/>
    <w:rsid w:val="247C3CC5"/>
    <w:rsid w:val="29850910"/>
    <w:rsid w:val="2A8E45C7"/>
    <w:rsid w:val="312C1A77"/>
    <w:rsid w:val="36BE0BA5"/>
    <w:rsid w:val="3BFE2CDF"/>
    <w:rsid w:val="438027F3"/>
    <w:rsid w:val="47763262"/>
    <w:rsid w:val="48D26A70"/>
    <w:rsid w:val="4CDE3442"/>
    <w:rsid w:val="56D05C63"/>
    <w:rsid w:val="57D81586"/>
    <w:rsid w:val="5E285F3B"/>
    <w:rsid w:val="69D71D92"/>
    <w:rsid w:val="6D1D77D3"/>
    <w:rsid w:val="721457E7"/>
    <w:rsid w:val="73302699"/>
    <w:rsid w:val="78AD7C09"/>
    <w:rsid w:val="7EEE08E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uiPriority w:val="0"/>
  </w:style>
  <w:style w:type="table" w:default="1" w:styleId="6">
    <w:name w:val="Normal Table"/>
    <w:semiHidden/>
    <w:uiPriority w:val="0"/>
    <w:tblPr>
      <w:tblStyle w:val="6"/>
      <w:tblCellMar>
        <w:top w:w="0" w:type="dxa"/>
        <w:left w:w="108" w:type="dxa"/>
        <w:bottom w:w="0" w:type="dxa"/>
        <w:right w:w="108" w:type="dxa"/>
      </w:tblCellMar>
    </w:tblPr>
  </w:style>
  <w:style w:type="paragraph" w:styleId="3">
    <w:name w:val="footer"/>
    <w:basedOn w:val="1"/>
    <w:link w:val="11"/>
    <w:uiPriority w:val="0"/>
    <w:pPr>
      <w:tabs>
        <w:tab w:val="center" w:pos="4153"/>
        <w:tab w:val="right" w:pos="8306"/>
      </w:tabs>
      <w:snapToGrid w:val="0"/>
      <w:jc w:val="left"/>
    </w:pPr>
    <w:rPr>
      <w:sz w:val="18"/>
      <w:szCs w:val="18"/>
    </w:rPr>
  </w:style>
  <w:style w:type="paragraph" w:styleId="4">
    <w:name w:val="header"/>
    <w:basedOn w:val="1"/>
    <w:link w:val="10"/>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uiPriority w:val="99"/>
    <w:pPr>
      <w:widowControl/>
      <w:spacing w:before="100" w:beforeAutospacing="1" w:after="100" w:afterAutospacing="1"/>
      <w:jc w:val="left"/>
    </w:pPr>
    <w:rPr>
      <w:rFonts w:ascii="宋体" w:hAnsi="宋体" w:cs="宋体"/>
      <w:kern w:val="0"/>
      <w:sz w:val="24"/>
    </w:rPr>
  </w:style>
  <w:style w:type="table" w:styleId="7">
    <w:name w:val="Table Grid"/>
    <w:basedOn w:val="6"/>
    <w:uiPriority w:val="0"/>
    <w:pPr>
      <w:widowControl w:val="0"/>
      <w:jc w:val="both"/>
    </w:pPr>
    <w:tblPr>
      <w:tblStyle w:val="6"/>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qFormat/>
    <w:uiPriority w:val="0"/>
    <w:rPr>
      <w:b/>
    </w:rPr>
  </w:style>
  <w:style w:type="character" w:customStyle="1" w:styleId="10">
    <w:name w:val="页眉 Char"/>
    <w:link w:val="4"/>
    <w:uiPriority w:val="0"/>
    <w:rPr>
      <w:kern w:val="2"/>
      <w:sz w:val="18"/>
      <w:szCs w:val="18"/>
    </w:rPr>
  </w:style>
  <w:style w:type="character" w:customStyle="1" w:styleId="11">
    <w:name w:val="页脚 Char"/>
    <w:link w:val="3"/>
    <w:uiPriority w:val="0"/>
    <w:rPr>
      <w:kern w:val="2"/>
      <w:sz w:val="18"/>
      <w:szCs w:val="18"/>
    </w:rPr>
  </w:style>
  <w:style w:type="paragraph" w:customStyle="1" w:styleId="12">
    <w:name w:val="样式1"/>
    <w:basedOn w:val="2"/>
    <w:qFormat/>
    <w:uiPriority w:val="0"/>
    <w:pPr>
      <w:spacing w:line="360" w:lineRule="auto"/>
      <w:jc w:val="center"/>
    </w:pPr>
    <w:rPr>
      <w:rFonts w:ascii="微软雅黑" w:hAnsi="微软雅黑" w:eastAsia="微软雅黑"/>
      <w:sz w:val="32"/>
      <w:szCs w:val="32"/>
    </w:rPr>
  </w:style>
  <w:style w:type="paragraph" w:styleId="13">
    <w:name w:val="List Paragraph"/>
    <w:basedOn w:val="1"/>
    <w:qFormat/>
    <w:uiPriority w:val="34"/>
    <w:pPr>
      <w:ind w:firstLine="420" w:firstLineChars="200"/>
    </w:pPr>
    <w:rPr>
      <w:rFonts w:ascii="等线" w:hAnsi="等线" w:eastAsia="等线" w:cs="Times New Roman"/>
      <w:szCs w:val="2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4</Pages>
  <Words>4305</Words>
  <Characters>4333</Characters>
  <Lines>32</Lines>
  <Paragraphs>9</Paragraphs>
  <TotalTime>0</TotalTime>
  <ScaleCrop>false</ScaleCrop>
  <LinksUpToDate>false</LinksUpToDate>
  <CharactersWithSpaces>4377</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2021-02-26T13:04:00Z</dcterms:created>
  <dc:creator>微软中国</dc:creator>
  <cp:lastModifiedBy>蓉儿</cp:lastModifiedBy>
  <dcterms:modified xsi:type="dcterms:W3CDTF">2023-01-04T08:14:20Z</dcterms:modified>
  <dc:title>在当前房地产行业中，设计管理一直是各地产公司管理的焦点和难点</dc:title>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BBAB2B8B513740A5BE3F1D95CACE575F</vt:lpwstr>
  </property>
</Properties>
</file>