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9" w:name="_GoBack"/>
      <w:bookmarkEnd w:id="9"/>
      <w:r>
        <w:rPr>
          <w:rFonts w:hint="eastAsia" w:ascii="微软雅黑" w:hAnsi="微软雅黑" w:eastAsia="微软雅黑" w:cs="微软雅黑"/>
          <w:b/>
          <w:bCs/>
          <w:sz w:val="24"/>
        </w:rPr>
        <w:t>安全生产</w:t>
      </w:r>
    </w:p>
    <w:p>
      <w:pPr>
        <w:spacing w:line="480" w:lineRule="exact"/>
        <w:ind w:left="567" w:leftChars="270"/>
        <w:rPr>
          <w:rFonts w:hint="eastAsia" w:ascii="微软雅黑" w:hAnsi="微软雅黑" w:eastAsia="微软雅黑" w:cs="微软雅黑"/>
          <w:sz w:val="28"/>
          <w:szCs w:val="28"/>
        </w:rPr>
      </w:pPr>
      <w:r>
        <w:rPr>
          <w:b/>
          <w:bCs/>
          <w:sz w:val="28"/>
          <w:szCs w:val="28"/>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4445" t="4445" r="12700" b="17780"/>
                <wp:wrapSquare wrapText="bothSides"/>
                <wp:docPr id="4" name="文本框 10"/>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wrap="square" upright="1"/>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A+EuWqFwIAAEUEAAAOAAAAZHJzL2Uyb0RvYy54bWytU82O&#10;0zAQviPxDpbvbNLS7m6jpitBKRcESAsPMLWdxJL/sN0mfQF4A05cuPNcfQ7Gbml3Fw49kIMztsff&#10;zPfNzPxu0IpshQ/SmpqOrkpKhGGWS9PW9POn1YtbSkIEw0FZI2q6E4HeLZ4/m/euEmPbWcWFJwhi&#10;QtW7mnYxuqooAuuEhnBlnTB42VivIeLWtwX30CO6VsW4LK+L3nruvGUiBDxdHi7pEdFfAmibRjKx&#10;tGyjhYkHVC8URKQUOukCXeRsm0aw+KFpgohE1RSZxrxiELTXaS0Wc6haD66T7JgCXJLCE04apMGg&#10;J6glRCAbL/+C0pJ5G2wTr5jVxYFIVgRZjMon2tx34ETmglIHdxI9/D9Y9n770RPJazqhxIDGgu+/&#10;f9v/+LX/+ZWMsj69CxW63Tt0jMMrO2DXJN3SecDDRHtovE5/JETwHtXdndQVQyQsPSqvJ7ezKSUM&#10;717eTMrRNMEU59fOh/hWWE2SUVOP1cuiwvZdiAfXPy4pWLBK8pVUKm98u36tPNlCqnT+juiP3JQh&#10;fU1n03HKA7B9G2wbNLVDCYJpc7xHL8JD4NFqMrtZ/gs4JbaE0B0SyAjJDSoto/DZ6gTwN4aTuHMo&#10;s8HpoikZLTglSuAwJit7RpDqEk/UThmU8FyKZMVhPSBMMteW77BsPTY40vuyAY8xN87LtkOBcxnz&#10;Y+yuXInjJKT2fbjPIc7T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gTYhtcAAAAIAQAADwAA&#10;AAAAAAABACAAAAAiAAAAZHJzL2Rvd25yZXYueG1sUEsBAhQAFAAAAAgAh07iQD4S5aoXAgAARQ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80" w:lineRule="exact"/>
        <w:ind w:left="567" w:leftChars="270"/>
        <w:rPr>
          <w:rFonts w:hint="eastAsia" w:ascii="微软雅黑" w:hAnsi="微软雅黑" w:eastAsia="微软雅黑" w:cs="微软雅黑"/>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4445" t="4445" r="12700" b="17780"/>
                <wp:wrapSquare wrapText="bothSides"/>
                <wp:docPr id="1" name="文本框 7"/>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wrap="square" upright="1"/>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A3cmPLFQIAAEQEAAAOAAAAZHJzL2Uyb0RvYy54bWytU0uS&#10;0zAQ3VPFHVTaEzshmUxccaYKQthQQNXAARRZtlWlH2oldi4AN2DFhj3nyjloySHzXWRBFk5Lenrd&#10;73VredNrRfbCg7SmpONRTokw3FbSNCX9+mXz6poSCMxUTFkjSnoQQG9WL18sO1eIiW2tqoQnSGKg&#10;6FxJ2xBckWXAW6EZjKwTBg9r6zULuPRNVnnWIbtW2STPr7LO+sp5ywUA7q6HQ3pi9JcQ2rqWXKwt&#10;32lhwsDqhWIBJUErHdBVqrauBQ+f6hpEIKqkqDSkLybBeBu/2WrJisYz10p+KoFdUsIjTZpJg0nP&#10;VGsWGNl5+YRKS+4t2DqMuNXZICQ5girG+SNvblvmRNKCVoM7mw7/j5Z/3H/2RFY4CZQYprHhx58/&#10;jr/+HH9/J/NoT+egQNStQ1zo39g+Qk/7gJtRdV97Hf9RD8FzNPdwNlf0gfB4Kb+aXi9mlHA8ez2f&#10;5uNZpMnubjsP4b2wmsSgpB6blzxl+w8QBug/SEwGVslqI5VKC99s3ypP9iw2Ov1O7A9gypCupIvZ&#10;JNbBcHprnBoMtUMHwDQp34MbcJ94vJku5uvniGNhawbtUEBiiDBWaBmET1ErWPXOVCQcHLps8HHR&#10;WIwWFSVK4FuMUUIGJtUlSPROGbQwtmhoRYxCv+2RJoZbWx2wbR3ON8r7tmMec+6cl02LBqc2pss4&#10;XKkTp4cQp/f+OqW4e/y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oHodzXAAAACAEAAA8AAAAA&#10;AAAAAQAgAAAAIgAAAGRycy9kb3ducmV2LnhtbFBLAQIUABQAAAAIAIdO4kA3cmPLFQIAAEQEAAAO&#10;AAAAAAAAAAEAIAAAACYBAABkcnMvZTJvRG9jLnhtbFBLBQYAAAAABgAGAFkBAACtBQ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pStyle w:val="12"/>
        <w:numPr>
          <w:ilvl w:val="0"/>
          <w:numId w:val="1"/>
        </w:numPr>
        <w:spacing w:line="276" w:lineRule="auto"/>
        <w:ind w:firstLineChars="0"/>
        <w:rPr>
          <w:rFonts w:ascii="微软雅黑" w:hAnsi="微软雅黑" w:eastAsia="微软雅黑" w:cs="微软雅黑"/>
          <w:sz w:val="24"/>
        </w:rPr>
      </w:pPr>
      <w:r>
        <w:rPr>
          <w:rFonts w:hint="eastAsia" w:ascii="微软雅黑" w:hAnsi="微软雅黑" w:eastAsia="微软雅黑" w:cs="微软雅黑"/>
          <w:sz w:val="24"/>
        </w:rPr>
        <w:t>深刻理解并体会工程管理各专业工程工艺工法和质量控制</w:t>
      </w:r>
    </w:p>
    <w:p>
      <w:pPr>
        <w:pStyle w:val="12"/>
        <w:numPr>
          <w:ilvl w:val="0"/>
          <w:numId w:val="1"/>
        </w:numPr>
        <w:spacing w:line="276" w:lineRule="auto"/>
        <w:ind w:firstLineChars="0"/>
        <w:rPr>
          <w:rFonts w:ascii="微软雅黑" w:hAnsi="微软雅黑" w:eastAsia="微软雅黑" w:cs="微软雅黑"/>
          <w:sz w:val="24"/>
        </w:rPr>
      </w:pPr>
      <w:r>
        <w:rPr>
          <w:rFonts w:hint="eastAsia" w:ascii="微软雅黑" w:hAnsi="微软雅黑" w:eastAsia="微软雅黑" w:cs="微软雅黑"/>
          <w:sz w:val="24"/>
        </w:rPr>
        <w:t>提高员工工程工艺基本操作管理意识</w:t>
      </w:r>
    </w:p>
    <w:p>
      <w:pPr>
        <w:pStyle w:val="12"/>
        <w:numPr>
          <w:ilvl w:val="0"/>
          <w:numId w:val="1"/>
        </w:numPr>
        <w:spacing w:line="276" w:lineRule="auto"/>
        <w:ind w:firstLineChars="0"/>
        <w:rPr>
          <w:rFonts w:ascii="微软雅黑" w:hAnsi="微软雅黑" w:eastAsia="微软雅黑" w:cs="微软雅黑"/>
          <w:sz w:val="24"/>
        </w:rPr>
      </w:pPr>
      <w:r>
        <w:rPr>
          <w:rFonts w:hint="eastAsia" w:ascii="微软雅黑" w:hAnsi="微软雅黑" w:eastAsia="微软雅黑" w:cs="微软雅黑"/>
          <w:sz w:val="24"/>
        </w:rPr>
        <w:t>强化员工工程流程和标准化的理念</w:t>
      </w:r>
    </w:p>
    <w:p>
      <w:pPr>
        <w:pStyle w:val="12"/>
        <w:numPr>
          <w:ilvl w:val="0"/>
          <w:numId w:val="1"/>
        </w:numPr>
        <w:spacing w:line="276" w:lineRule="auto"/>
        <w:ind w:firstLineChars="0"/>
        <w:rPr>
          <w:rFonts w:ascii="微软雅黑" w:hAnsi="微软雅黑" w:eastAsia="微软雅黑" w:cs="微软雅黑"/>
          <w:sz w:val="24"/>
        </w:rPr>
      </w:pPr>
      <w:r>
        <w:rPr>
          <w:rFonts w:hint="eastAsia" w:ascii="微软雅黑" w:hAnsi="微软雅黑" w:eastAsia="微软雅黑" w:cs="微软雅黑"/>
          <w:sz w:val="24"/>
        </w:rPr>
        <w:t>夯实员工管理基础</w:t>
      </w:r>
    </w:p>
    <w:p>
      <w:pPr>
        <w:pStyle w:val="12"/>
        <w:numPr>
          <w:ilvl w:val="0"/>
          <w:numId w:val="1"/>
        </w:numPr>
        <w:spacing w:line="276" w:lineRule="auto"/>
        <w:ind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学习吸收标杆企业的优秀管理方法，取其精华，提高自身管理能力，提高企业质量管理体系</w:t>
      </w:r>
    </w:p>
    <w:p>
      <w:pPr>
        <w:pStyle w:val="12"/>
        <w:spacing w:line="480" w:lineRule="exact"/>
        <w:ind w:left="900" w:hanging="420" w:firstLineChars="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85090</wp:posOffset>
                </wp:positionV>
                <wp:extent cx="1064895" cy="374015"/>
                <wp:effectExtent l="4445" t="4445" r="12700" b="17780"/>
                <wp:wrapSquare wrapText="bothSides"/>
                <wp:docPr id="2" name="文本框 8"/>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wrap="square" upright="1"/>
                    </wps:wsp>
                  </a:graphicData>
                </a:graphic>
              </wp:anchor>
            </w:drawing>
          </mc:Choice>
          <mc:Fallback>
            <w:pict>
              <v:shape id="文本框 8" o:spid="_x0000_s1026" o:spt="202" type="#_x0000_t202" style="position:absolute;left:0pt;margin-left:10.15pt;margin-top:6.7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ovubf9cAAAAI&#10;AQAADwAAAGRycy9kb3ducmV2LnhtbE2PwU7DMBBE70j8g7VI3KjdBNEojdMDEodKCEEBcXXjbRJh&#10;r0PsNIWvZ3uC486MZt9Um5N34ohj7ANpWC4UCKQm2J5aDW+vDzcFiJgMWeMCoYZvjLCpLy8qU9ow&#10;0wsed6kVXEKxNBq6lIZSyth06E1chAGJvUMYvUl8jq20o5m53DuZKXUnvemJP3RmwPsOm8/d5DWo&#10;j5Vyj97bOT6/P/2or20/bQetr6+Wag0i4Sn9heGMz+hQM9M+TGSjcBoylXOS9fwWxNkvCt6217DK&#10;cpB1Jf8PqH8BUEsDBBQAAAAIAIdO4kDWQaeFFwIAAEQEAAAOAAAAZHJzL2Uyb0RvYy54bWytU0uS&#10;0zAQ3VPFHVTaEzshmUlccaYKQthQQNXAATqybKtKPyQldi4AN2DFhv2cK+egJWcyH1hkgRdyS2q9&#10;7ve6e3nTK0n23HlhdEnHo5wSrpmphG5K+vXL5tWcEh9AVyCN5iU9cE9vVi9fLDtb8Ilpjay4Iwii&#10;fdHZkrYh2CLLPGu5Aj8ylmu8rI1TEHDrmqxy0CG6ktkkz6+yzrjKOsO493i6Hi7pCdFdAmjqWjC+&#10;NmynuA4DquMSAlLyrbCerlK2dc1Z+FTXngciS4pMQ1oxCNrbuGarJRSNA9sKdkoBLknhGScFQmPQ&#10;M9QaApCdE39BKcGc8aYOI2ZUNhBJiiCLcf5Mm9sWLE9cUGpvz6L7/wfLPu4/OyKqkk4o0aCw4Mef&#10;P46/7o6/v5N5lKezvkCvW4t+oX9jemya+3OPh5F1XzsV/8iH4D2KeziLy/tAWHyUX03nixklDO9e&#10;X0/z8SzCZA+vrfPhPTeKRKOkDouXNIX9Bx8G13uXGMwbKaqNkDJtXLN9Kx3ZQyx0+k7oT9ykJl1J&#10;F7NJzAOwe2vsGjSVRQW8blK8Jy/8Y+DxZrq4Xv8LOCa2Bt8OCSSE6AaFEoG7ZLUcqne6IuFgUWWN&#10;w0VjMopXlEiOsxit5BlAyEs8UTupUcJYoqEU0Qr9tkeYaG5NdcCyddjfSO/bDhzG3FknmhYFTmVM&#10;j7G5UiVOgxC79/E+hXgY/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vubf9cAAAAIAQAADwAA&#10;AAAAAAABACAAAAAiAAAAZHJzL2Rvd25yZXYueG1sUEsBAhQAFAAAAAgAh07iQNZBp4UXAgAARA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widowControl/>
        <w:shd w:val="clear" w:color="auto" w:fill="FFFFFF"/>
        <w:spacing w:line="480" w:lineRule="exact"/>
        <w:ind w:left="567" w:leftChars="270"/>
        <w:jc w:val="left"/>
        <w:rPr>
          <w:rFonts w:ascii="Verdana" w:hAnsi="Verdana" w:cs="Verdana"/>
          <w:color w:val="333333"/>
          <w:sz w:val="28"/>
          <w:szCs w:val="28"/>
        </w:rPr>
      </w:pPr>
    </w:p>
    <w:p>
      <w:pPr>
        <w:pStyle w:val="12"/>
        <w:spacing w:line="276" w:lineRule="auto"/>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房地产企业董事长、总经理、总工、集团分管工程副总、项目总经理、工程总监、设计部经理、成本总监、成本部经理、工程部经理、造价工程师等。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147955</wp:posOffset>
                </wp:positionV>
                <wp:extent cx="1064895" cy="374015"/>
                <wp:effectExtent l="4445" t="4445" r="12700" b="17780"/>
                <wp:wrapSquare wrapText="bothSides"/>
                <wp:docPr id="3" name="文本框 9"/>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wrap="square" upright="1"/>
                    </wps:wsp>
                  </a:graphicData>
                </a:graphic>
              </wp:anchor>
            </w:drawing>
          </mc:Choice>
          <mc:Fallback>
            <w:pict>
              <v:shape id="文本框 9" o:spid="_x0000_s1026" o:spt="202" type="#_x0000_t202" style="position:absolute;left:0pt;margin-left:7.8pt;margin-top:11.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NuNeC9YAAAAI&#10;AQAADwAAAGRycy9kb3ducmV2LnhtbE2PwU7DMBBE70j8g7VI3KjdVJQoxOkBiUMlhKCAuG7jbRLV&#10;XofYaQpfj3OC245mNPum3JydFScaQudZw3KhQBDX3nTcaHh/e7zJQYSIbNB6Jg3fFGBTXV6UWBg/&#10;8SuddrERqYRDgRraGPtCylC35DAsfE+cvIMfHMYkh0aaAadU7qzMlFpLhx2nDy329NBSfdyNToP6&#10;vFP2yTkzhZeP5x/1te3Gba/19dVS3YOIdI5/YZjxEzpUiWnvRzZB2KRv1ympIVutQMx+Ph97DXmW&#10;gaxK+X9A9QtQSwMEFAAAAAgAh07iQJyJMtMYAgAARAQAAA4AAABkcnMvZTJvRG9jLnhtbK1TS5LT&#10;MBDdU8UdVNoTO5lkZuKKM1UQwoYCqgYO0JFlW1X6ISmxcwG4ASs27DlXzkFLzmQ+zCKL8UJuSa3X&#10;/V53L256JcmOOy+MLul4lFPCNTOV0E1Jv31dv7mmxAfQFUijeUn33NOb5etXi84WfGJaIyvuCIJo&#10;X3S2pG0Itsgyz1quwI+M5Rova+MUBNy6JqscdIiuZDbJ88usM66yzjDuPZ6uhkt6RHTnAJq6Foyv&#10;DNsqrsOA6riEgJR8K6yny5RtXXMWPte154HIkiLTkFYMgvYmrtlyAUXjwLaCHVOAc1J4wkmB0Bj0&#10;BLWCAGTrxH9QSjBnvKnDiBmVDUSSIshinD/R5rYFyxMXlNrbk+j+5WDZp90XR0RV0gtKNCgs+OHX&#10;z8Pvv4c/P8g8ytNZX6DXrUW/0L81PTbN3bnHw8i6r52Kf+RD8B7F3Z/E5X0gLD7KL6fX8xklDO8u&#10;rqb5eBZhsvvX1vnwgRtFolFSh8VLmsLuow+D651LDOaNFNVaSJk2rtm8k47sIBY6fUf0R25Sk66k&#10;89kk5gHYvTV2DZrKogJeNyneoxf+IfB4PZ1frZ4DjomtwLdDAgkhukGhROAuWS2H6r2uSNhbVFnj&#10;cNGYjOIVJZLjLEYreQYQ8hxP1E5qlDCWaChFtEK/6REmmhtT7bFsHfY30vu+BYcxt9aJpkWBUxnT&#10;Y2yuVInjIMTufbhPIe6Hf/k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uNeC9YAAAAIAQAADwAA&#10;AAAAAAABACAAAAAiAAAAZHJzL2Rvd25yZXYueG1sUEsBAhQAFAAAAAgAh07iQJyJMtMYAgAARAQA&#10;AA4AAAAAAAAAAQAgAAAAJQ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widowControl/>
        <w:spacing w:line="440" w:lineRule="exact"/>
        <w:ind w:left="567" w:leftChars="270"/>
        <w:jc w:val="left"/>
        <w:rPr>
          <w:rFonts w:hint="eastAsia"/>
          <w:sz w:val="28"/>
          <w:szCs w:val="28"/>
        </w:rPr>
      </w:pP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安全生产文明施工</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如何提高安全管理意识:</w:t>
      </w:r>
      <w:r>
        <w:rPr>
          <w:rFonts w:hint="eastAsia"/>
          <w:b/>
        </w:rPr>
        <w:t xml:space="preserve"> </w:t>
      </w:r>
      <w:r>
        <w:rPr>
          <w:rFonts w:hint="eastAsia" w:ascii="微软雅黑" w:hAnsi="微软雅黑" w:eastAsia="微软雅黑" w:cs="微软雅黑"/>
          <w:b/>
          <w:sz w:val="24"/>
        </w:rPr>
        <w:t>安全管理落实难的原因——假配合、假</w:t>
      </w:r>
      <w:r>
        <w:rPr>
          <w:rFonts w:ascii="微软雅黑" w:hAnsi="微软雅黑" w:eastAsia="微软雅黑" w:cs="微软雅黑"/>
          <w:b/>
          <w:sz w:val="24"/>
        </w:rPr>
        <w:t>重视、假宣传</w:t>
      </w:r>
      <w:r>
        <w:rPr>
          <w:rFonts w:hint="eastAsia" w:ascii="微软雅黑" w:hAnsi="微软雅黑" w:eastAsia="微软雅黑" w:cs="微软雅黑"/>
          <w:b/>
          <w:sz w:val="24"/>
        </w:rPr>
        <w:t>；安全管理落实要点。</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项目各阶段安全管理重点：标准建立阶段；考察与合同签订阶段；安全员配置标准；施工各阶段安全管理重点及</w:t>
      </w:r>
      <w:r>
        <w:rPr>
          <w:rFonts w:ascii="微软雅黑" w:hAnsi="微软雅黑" w:eastAsia="微软雅黑" w:cs="微软雅黑"/>
          <w:b/>
          <w:sz w:val="24"/>
        </w:rPr>
        <w:t>案例</w:t>
      </w:r>
      <w:r>
        <w:rPr>
          <w:rFonts w:hint="eastAsia" w:ascii="微软雅黑" w:hAnsi="微软雅黑" w:eastAsia="微软雅黑" w:cs="微软雅黑"/>
          <w:b/>
          <w:sz w:val="24"/>
        </w:rPr>
        <w:t xml:space="preserve">。 </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重大危险源管理：高处坠落、触电、物体打击、 机械伤害、</w:t>
      </w:r>
      <w:r>
        <w:rPr>
          <w:rFonts w:ascii="微软雅黑" w:hAnsi="微软雅黑" w:eastAsia="微软雅黑" w:cs="微软雅黑"/>
          <w:b/>
          <w:sz w:val="24"/>
        </w:rPr>
        <w:t>坍塌等事故；</w:t>
      </w:r>
      <w:r>
        <w:rPr>
          <w:rFonts w:hint="eastAsia" w:ascii="微软雅黑" w:hAnsi="微软雅黑" w:eastAsia="微软雅黑" w:cs="微软雅黑"/>
          <w:b/>
          <w:sz w:val="24"/>
        </w:rPr>
        <w:t>事故发生原因分析。</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安全文明管控要点：安全文明管控目的和评估体系；加强现场安全文明施工管理；标杆企业“三宝”；事故</w:t>
      </w:r>
      <w:r>
        <w:rPr>
          <w:rFonts w:ascii="微软雅黑" w:hAnsi="微软雅黑" w:eastAsia="微软雅黑" w:cs="微软雅黑"/>
          <w:b/>
          <w:sz w:val="24"/>
        </w:rPr>
        <w:t>案例分析。</w:t>
      </w:r>
      <w:r>
        <w:rPr>
          <w:rFonts w:hint="eastAsia" w:ascii="微软雅黑" w:hAnsi="微软雅黑" w:eastAsia="微软雅黑" w:cs="微软雅黑"/>
          <w:b/>
          <w:sz w:val="24"/>
        </w:rPr>
        <w:t xml:space="preserve">  </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现场安全防护管理：标杆企业“四口”；标杆企业“五临边”；现场安全防护管理及安全</w:t>
      </w:r>
      <w:r>
        <w:rPr>
          <w:rFonts w:ascii="微软雅黑" w:hAnsi="微软雅黑" w:eastAsia="微软雅黑" w:cs="微软雅黑"/>
          <w:b/>
          <w:sz w:val="24"/>
        </w:rPr>
        <w:t>通道；</w:t>
      </w:r>
      <w:r>
        <w:rPr>
          <w:rFonts w:hint="eastAsia" w:ascii="微软雅黑" w:hAnsi="微软雅黑" w:eastAsia="微软雅黑" w:cs="微软雅黑"/>
          <w:b/>
          <w:sz w:val="24"/>
        </w:rPr>
        <w:t>设备设施标准化管理；七通一平和道路堆场标化施工；各类</w:t>
      </w:r>
      <w:r>
        <w:rPr>
          <w:rFonts w:ascii="微软雅黑" w:hAnsi="微软雅黑" w:eastAsia="微软雅黑" w:cs="微软雅黑"/>
          <w:b/>
          <w:sz w:val="24"/>
        </w:rPr>
        <w:t>事故案例分析。</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 xml:space="preserve">临边及防坍塌管理：临边和防坍塌管理全国数据；坍塌事故案例分析。 </w:t>
      </w:r>
    </w:p>
    <w:p>
      <w:pPr>
        <w:numPr>
          <w:ilvl w:val="0"/>
          <w:numId w:val="2"/>
        </w:numPr>
        <w:spacing w:line="276" w:lineRule="auto"/>
        <w:ind w:left="1134"/>
        <w:rPr>
          <w:rFonts w:hint="eastAsia" w:ascii="微软雅黑" w:hAnsi="微软雅黑" w:eastAsia="微软雅黑" w:cs="微软雅黑"/>
          <w:b/>
          <w:sz w:val="24"/>
        </w:rPr>
      </w:pPr>
      <w:r>
        <w:rPr>
          <w:rFonts w:hint="eastAsia" w:ascii="微软雅黑" w:hAnsi="微软雅黑" w:eastAsia="微软雅黑" w:cs="微软雅黑"/>
          <w:b/>
          <w:sz w:val="24"/>
        </w:rPr>
        <w:t>消防临水临电管理：消防器材管理；消防演练；标杆企业临水临电体系案例</w:t>
      </w:r>
      <w:r>
        <w:rPr>
          <w:rFonts w:ascii="微软雅黑" w:hAnsi="微软雅黑" w:eastAsia="微软雅黑" w:cs="微软雅黑"/>
          <w:b/>
          <w:sz w:val="24"/>
        </w:rPr>
        <w:t>；违章事故案例分析。</w:t>
      </w:r>
      <w:r>
        <w:rPr>
          <w:rFonts w:hint="eastAsia" w:ascii="微软雅黑" w:hAnsi="微软雅黑" w:eastAsia="微软雅黑" w:cs="微软雅黑"/>
          <w:b/>
          <w:sz w:val="24"/>
        </w:rPr>
        <w:t xml:space="preserve"> </w:t>
      </w:r>
    </w:p>
    <w:p>
      <w:pPr>
        <w:pStyle w:val="12"/>
        <w:numPr>
          <w:ilvl w:val="0"/>
          <w:numId w:val="2"/>
        </w:numPr>
        <w:spacing w:line="276" w:lineRule="auto"/>
        <w:ind w:left="1134" w:firstLineChars="0"/>
        <w:rPr>
          <w:rFonts w:ascii="微软雅黑" w:hAnsi="微软雅黑" w:eastAsia="微软雅黑" w:cs="微软雅黑"/>
          <w:b/>
          <w:sz w:val="24"/>
        </w:rPr>
      </w:pPr>
      <w:r>
        <w:rPr>
          <w:rFonts w:hint="eastAsia" w:ascii="微软雅黑" w:hAnsi="微软雅黑" w:eastAsia="微软雅黑" w:cs="微软雅黑"/>
          <w:b/>
          <w:sz w:val="24"/>
        </w:rPr>
        <w:t>卫生防疫管理：制定疫情</w:t>
      </w:r>
      <w:r>
        <w:rPr>
          <w:rFonts w:ascii="微软雅黑" w:hAnsi="微软雅黑" w:eastAsia="微软雅黑" w:cs="微软雅黑"/>
          <w:b/>
          <w:sz w:val="24"/>
        </w:rPr>
        <w:t>防控预案；</w:t>
      </w:r>
      <w:r>
        <w:rPr>
          <w:rFonts w:hint="eastAsia" w:ascii="微软雅黑" w:hAnsi="微软雅黑" w:eastAsia="微软雅黑" w:cs="微软雅黑"/>
          <w:b/>
          <w:sz w:val="24"/>
        </w:rPr>
        <w:t>落实</w:t>
      </w:r>
      <w:r>
        <w:rPr>
          <w:rFonts w:ascii="微软雅黑" w:hAnsi="微软雅黑" w:eastAsia="微软雅黑" w:cs="微软雅黑"/>
          <w:b/>
          <w:sz w:val="24"/>
        </w:rPr>
        <w:t>防疫措施。</w:t>
      </w:r>
    </w:p>
    <w:p>
      <w:pPr>
        <w:pStyle w:val="12"/>
        <w:numPr>
          <w:ilvl w:val="0"/>
          <w:numId w:val="2"/>
        </w:numPr>
        <w:spacing w:line="480" w:lineRule="exact"/>
        <w:ind w:left="1134" w:firstLineChars="0"/>
        <w:rPr>
          <w:rFonts w:hint="eastAsia" w:ascii="微软雅黑" w:hAnsi="微软雅黑" w:eastAsia="微软雅黑" w:cs="微软雅黑"/>
          <w:b/>
          <w:sz w:val="24"/>
        </w:rPr>
      </w:pPr>
      <w:r>
        <w:rPr>
          <w:rFonts w:hint="eastAsia" w:ascii="微软雅黑" w:hAnsi="微软雅黑" w:eastAsia="微软雅黑" w:cs="微软雅黑"/>
          <w:b/>
          <w:sz w:val="24"/>
        </w:rPr>
        <w:t>智慧施工管理：科技如何为管理保驾护航；精益工程专项分析；建造设备精益及</w:t>
      </w:r>
      <w:r>
        <w:rPr>
          <w:rFonts w:ascii="微软雅黑" w:hAnsi="微软雅黑" w:eastAsia="微软雅黑" w:cs="微软雅黑"/>
          <w:b/>
          <w:sz w:val="24"/>
        </w:rPr>
        <w:t>案例展示。</w:t>
      </w:r>
    </w:p>
    <w:p>
      <w:pPr>
        <w:adjustRightInd w:val="0"/>
        <w:snapToGrid w:val="0"/>
        <w:spacing w:line="288" w:lineRule="auto"/>
        <w:ind w:left="1134" w:hanging="567"/>
        <w:rPr>
          <w:rFonts w:ascii="微软雅黑" w:hAnsi="微软雅黑" w:eastAsia="微软雅黑" w:cs="宋体"/>
          <w:b/>
          <w:color w:val="404040"/>
          <w:spacing w:val="10"/>
          <w:szCs w:val="21"/>
        </w:rPr>
      </w:pPr>
      <w:r>
        <w:rPr>
          <w:rFonts w:ascii="微软雅黑" w:hAnsi="微软雅黑" w:eastAsia="微软雅黑" w:cs="微软雅黑"/>
          <w:b/>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4"/>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5"/>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5"/>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7"/>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1"/>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2"/>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1"/>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szCs w:val="21"/>
          <w:highlight w:val="yellow"/>
        </w:rPr>
        <w:t>《</w:t>
      </w:r>
      <w:r>
        <w:rPr>
          <w:rFonts w:hint="eastAsia" w:ascii="微软雅黑" w:hAnsi="微软雅黑" w:eastAsia="微软雅黑" w:cs="微软雅黑"/>
          <w:color w:val="404040"/>
          <w:szCs w:val="21"/>
          <w:highlight w:val="yellow"/>
        </w:rPr>
        <w:t>安全生产</w:t>
      </w:r>
      <w:r>
        <w:rPr>
          <w:rFonts w:hint="eastAsia" w:ascii="微软雅黑" w:hAnsi="微软雅黑" w:eastAsia="微软雅黑" w:cs="微软雅黑"/>
          <w:szCs w:val="21"/>
          <w:highlight w:val="yellow"/>
        </w:rPr>
        <w:t>》</w:t>
      </w:r>
      <w:r>
        <w:rPr>
          <w:rFonts w:hint="eastAsia" w:ascii="微软雅黑" w:hAnsi="微软雅黑" w:eastAsia="微软雅黑" w:cs="微软雅黑"/>
          <w:b/>
          <w:color w:val="404040"/>
          <w:szCs w:val="21"/>
          <w:highlight w:val="yellow"/>
        </w:rPr>
        <w:t>（多家总承包央企工程项目安全生产管理提升课程）</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D4E3E"/>
    <w:multiLevelType w:val="multilevel"/>
    <w:tmpl w:val="017D4E3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decimal"/>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7">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0"/>
  </w:num>
  <w:num w:numId="3">
    <w:abstractNumId w:val="3"/>
  </w:num>
  <w:num w:numId="4">
    <w:abstractNumId w:val="9"/>
  </w:num>
  <w:num w:numId="5">
    <w:abstractNumId w:val="1"/>
  </w:num>
  <w:num w:numId="6">
    <w:abstractNumId w:val="4"/>
  </w:num>
  <w:num w:numId="7">
    <w:abstractNumId w:val="8"/>
  </w:num>
  <w:num w:numId="8">
    <w:abstractNumId w:val="6"/>
  </w:num>
  <w:num w:numId="9">
    <w:abstractNumId w:val="2"/>
  </w:num>
  <w:num w:numId="10">
    <w:abstractNumId w:val="6"/>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43DFD"/>
    <w:rsid w:val="00064028"/>
    <w:rsid w:val="00075514"/>
    <w:rsid w:val="0009275D"/>
    <w:rsid w:val="000979CB"/>
    <w:rsid w:val="000B6C4B"/>
    <w:rsid w:val="000C6C71"/>
    <w:rsid w:val="000D195B"/>
    <w:rsid w:val="000E4D18"/>
    <w:rsid w:val="00100B88"/>
    <w:rsid w:val="0011547E"/>
    <w:rsid w:val="0013013A"/>
    <w:rsid w:val="0013535E"/>
    <w:rsid w:val="00140F17"/>
    <w:rsid w:val="001429C5"/>
    <w:rsid w:val="0015199E"/>
    <w:rsid w:val="00151DB4"/>
    <w:rsid w:val="0015295D"/>
    <w:rsid w:val="001745C7"/>
    <w:rsid w:val="00185EEB"/>
    <w:rsid w:val="00191555"/>
    <w:rsid w:val="001C391F"/>
    <w:rsid w:val="001E0A5E"/>
    <w:rsid w:val="001E6544"/>
    <w:rsid w:val="001F3EF8"/>
    <w:rsid w:val="002170AA"/>
    <w:rsid w:val="00222A87"/>
    <w:rsid w:val="00226684"/>
    <w:rsid w:val="002434FF"/>
    <w:rsid w:val="00244CE4"/>
    <w:rsid w:val="00247570"/>
    <w:rsid w:val="002555A4"/>
    <w:rsid w:val="00263A6F"/>
    <w:rsid w:val="00277808"/>
    <w:rsid w:val="00286226"/>
    <w:rsid w:val="002877F6"/>
    <w:rsid w:val="00290A2A"/>
    <w:rsid w:val="00291C6C"/>
    <w:rsid w:val="002941B6"/>
    <w:rsid w:val="0029592A"/>
    <w:rsid w:val="002B377F"/>
    <w:rsid w:val="002C08EF"/>
    <w:rsid w:val="002D6EF4"/>
    <w:rsid w:val="002F401E"/>
    <w:rsid w:val="002F64A0"/>
    <w:rsid w:val="00302C37"/>
    <w:rsid w:val="0031596C"/>
    <w:rsid w:val="0033554E"/>
    <w:rsid w:val="00350713"/>
    <w:rsid w:val="00351908"/>
    <w:rsid w:val="00363BA6"/>
    <w:rsid w:val="0036613B"/>
    <w:rsid w:val="00366363"/>
    <w:rsid w:val="003841A3"/>
    <w:rsid w:val="00386F07"/>
    <w:rsid w:val="0038765F"/>
    <w:rsid w:val="00396363"/>
    <w:rsid w:val="003A508B"/>
    <w:rsid w:val="003A7457"/>
    <w:rsid w:val="003E619C"/>
    <w:rsid w:val="00404613"/>
    <w:rsid w:val="00407036"/>
    <w:rsid w:val="00423F1E"/>
    <w:rsid w:val="00425A3F"/>
    <w:rsid w:val="00444F0F"/>
    <w:rsid w:val="00460105"/>
    <w:rsid w:val="00471979"/>
    <w:rsid w:val="00475856"/>
    <w:rsid w:val="00486FFE"/>
    <w:rsid w:val="00492F72"/>
    <w:rsid w:val="004A11DA"/>
    <w:rsid w:val="004A1970"/>
    <w:rsid w:val="004A1C68"/>
    <w:rsid w:val="004B7E82"/>
    <w:rsid w:val="004C150C"/>
    <w:rsid w:val="004E1C26"/>
    <w:rsid w:val="00506ACE"/>
    <w:rsid w:val="005100D5"/>
    <w:rsid w:val="0051455E"/>
    <w:rsid w:val="0051520C"/>
    <w:rsid w:val="00517B4D"/>
    <w:rsid w:val="00520471"/>
    <w:rsid w:val="00531E46"/>
    <w:rsid w:val="00553F13"/>
    <w:rsid w:val="00554D59"/>
    <w:rsid w:val="0058697F"/>
    <w:rsid w:val="00596E95"/>
    <w:rsid w:val="005A0CDB"/>
    <w:rsid w:val="005A7AA4"/>
    <w:rsid w:val="005D39AE"/>
    <w:rsid w:val="00610AFC"/>
    <w:rsid w:val="00620066"/>
    <w:rsid w:val="00633212"/>
    <w:rsid w:val="00660232"/>
    <w:rsid w:val="00665A47"/>
    <w:rsid w:val="0067469A"/>
    <w:rsid w:val="00687D03"/>
    <w:rsid w:val="0069080A"/>
    <w:rsid w:val="006D3DEF"/>
    <w:rsid w:val="006E0E13"/>
    <w:rsid w:val="00707C86"/>
    <w:rsid w:val="007348CC"/>
    <w:rsid w:val="007726F3"/>
    <w:rsid w:val="0077320A"/>
    <w:rsid w:val="00785A8D"/>
    <w:rsid w:val="00796C9B"/>
    <w:rsid w:val="007B03E7"/>
    <w:rsid w:val="007C3FBD"/>
    <w:rsid w:val="007D67FE"/>
    <w:rsid w:val="007E27AF"/>
    <w:rsid w:val="007E76F1"/>
    <w:rsid w:val="007F4482"/>
    <w:rsid w:val="00802A72"/>
    <w:rsid w:val="0081468D"/>
    <w:rsid w:val="00817402"/>
    <w:rsid w:val="00821D88"/>
    <w:rsid w:val="008235F6"/>
    <w:rsid w:val="00857F09"/>
    <w:rsid w:val="00864CBE"/>
    <w:rsid w:val="00885472"/>
    <w:rsid w:val="008942DA"/>
    <w:rsid w:val="008952AF"/>
    <w:rsid w:val="009031C7"/>
    <w:rsid w:val="009356D5"/>
    <w:rsid w:val="009421E2"/>
    <w:rsid w:val="0097034A"/>
    <w:rsid w:val="0098470E"/>
    <w:rsid w:val="009850BB"/>
    <w:rsid w:val="00993554"/>
    <w:rsid w:val="009A6653"/>
    <w:rsid w:val="009D62C8"/>
    <w:rsid w:val="009E6DE7"/>
    <w:rsid w:val="009E7AED"/>
    <w:rsid w:val="009F0DAD"/>
    <w:rsid w:val="009F1F2C"/>
    <w:rsid w:val="009F5577"/>
    <w:rsid w:val="00A0328B"/>
    <w:rsid w:val="00A07440"/>
    <w:rsid w:val="00A236B2"/>
    <w:rsid w:val="00A3123C"/>
    <w:rsid w:val="00A4786A"/>
    <w:rsid w:val="00A522F0"/>
    <w:rsid w:val="00A54B56"/>
    <w:rsid w:val="00A6583C"/>
    <w:rsid w:val="00A76C3F"/>
    <w:rsid w:val="00A80D66"/>
    <w:rsid w:val="00A82975"/>
    <w:rsid w:val="00A86084"/>
    <w:rsid w:val="00A8706F"/>
    <w:rsid w:val="00AC5E27"/>
    <w:rsid w:val="00AE14A4"/>
    <w:rsid w:val="00B24901"/>
    <w:rsid w:val="00B26918"/>
    <w:rsid w:val="00B41CD2"/>
    <w:rsid w:val="00B44FD5"/>
    <w:rsid w:val="00B55820"/>
    <w:rsid w:val="00B648A0"/>
    <w:rsid w:val="00B65FDE"/>
    <w:rsid w:val="00B71905"/>
    <w:rsid w:val="00B825E2"/>
    <w:rsid w:val="00BA370E"/>
    <w:rsid w:val="00BA5B31"/>
    <w:rsid w:val="00BD67F0"/>
    <w:rsid w:val="00BD6A6C"/>
    <w:rsid w:val="00BF4D86"/>
    <w:rsid w:val="00BF7C13"/>
    <w:rsid w:val="00C00C29"/>
    <w:rsid w:val="00C064AA"/>
    <w:rsid w:val="00C41C5C"/>
    <w:rsid w:val="00C4273D"/>
    <w:rsid w:val="00C44ECE"/>
    <w:rsid w:val="00C5318E"/>
    <w:rsid w:val="00C62174"/>
    <w:rsid w:val="00C675A5"/>
    <w:rsid w:val="00C723DB"/>
    <w:rsid w:val="00C92DE5"/>
    <w:rsid w:val="00CA3002"/>
    <w:rsid w:val="00CB3617"/>
    <w:rsid w:val="00CB4502"/>
    <w:rsid w:val="00CE2DC1"/>
    <w:rsid w:val="00CF24E5"/>
    <w:rsid w:val="00D05669"/>
    <w:rsid w:val="00D225D1"/>
    <w:rsid w:val="00D352D3"/>
    <w:rsid w:val="00D37612"/>
    <w:rsid w:val="00D80B19"/>
    <w:rsid w:val="00D91AE6"/>
    <w:rsid w:val="00D9536D"/>
    <w:rsid w:val="00DA56A6"/>
    <w:rsid w:val="00DC3C68"/>
    <w:rsid w:val="00DD306B"/>
    <w:rsid w:val="00DE1352"/>
    <w:rsid w:val="00DE3153"/>
    <w:rsid w:val="00DF631C"/>
    <w:rsid w:val="00E331C2"/>
    <w:rsid w:val="00E44D73"/>
    <w:rsid w:val="00E50433"/>
    <w:rsid w:val="00E677AD"/>
    <w:rsid w:val="00E90178"/>
    <w:rsid w:val="00E94048"/>
    <w:rsid w:val="00E943B1"/>
    <w:rsid w:val="00E94B94"/>
    <w:rsid w:val="00EB2815"/>
    <w:rsid w:val="00ED65FA"/>
    <w:rsid w:val="00EE02BD"/>
    <w:rsid w:val="00EF160C"/>
    <w:rsid w:val="00F07422"/>
    <w:rsid w:val="00F11A40"/>
    <w:rsid w:val="00F21560"/>
    <w:rsid w:val="00F25A99"/>
    <w:rsid w:val="00F327BC"/>
    <w:rsid w:val="00F33918"/>
    <w:rsid w:val="00F3594E"/>
    <w:rsid w:val="00F715BE"/>
    <w:rsid w:val="00F91CFC"/>
    <w:rsid w:val="00F92274"/>
    <w:rsid w:val="00F934E6"/>
    <w:rsid w:val="00FB1623"/>
    <w:rsid w:val="00FB2BB1"/>
    <w:rsid w:val="00FB5406"/>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2B4A6D48"/>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3560</Words>
  <Characters>3572</Characters>
  <Lines>26</Lines>
  <Paragraphs>7</Paragraphs>
  <TotalTime>0</TotalTime>
  <ScaleCrop>false</ScaleCrop>
  <LinksUpToDate>false</LinksUpToDate>
  <CharactersWithSpaces>3607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2022-04-22T11:20:00Z</dcterms:created>
  <dc:creator>微软中国</dc:creator>
  <cp:lastModifiedBy>蓉儿</cp:lastModifiedBy>
  <dcterms:modified xsi:type="dcterms:W3CDTF">2023-01-04T08:26:44Z</dcterms:modified>
  <dc:title>在当前房地产行业中，设计管理一直是各地产公司管理的焦点和难点</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767BCDAB11C141C89D4B11BE8CDD2B9D</vt:lpwstr>
  </property>
</Properties>
</file>