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1201" w:firstLineChars="500"/>
        <w:jc w:val="center"/>
        <w:rPr>
          <w:rFonts w:ascii="微软雅黑" w:hAnsi="微软雅黑" w:eastAsia="微软雅黑" w:cs="微软雅黑"/>
          <w:b/>
          <w:bCs/>
          <w:sz w:val="24"/>
        </w:rPr>
      </w:pPr>
      <w:bookmarkStart w:id="11" w:name="_GoBack"/>
      <w:bookmarkEnd w:id="11"/>
      <w:r>
        <w:rPr>
          <w:rFonts w:hint="eastAsia" w:ascii="微软雅黑" w:hAnsi="微软雅黑" w:eastAsia="微软雅黑" w:cs="微软雅黑"/>
          <w:b/>
          <w:bCs/>
          <w:sz w:val="24"/>
        </w:rPr>
        <w:t>标杆房企工程管理之批量精装修管理要点和实战案例</w:t>
      </w:r>
    </w:p>
    <w:p>
      <w:pPr>
        <w:spacing w:line="440" w:lineRule="exact"/>
        <w:jc w:val="center"/>
        <w:rPr>
          <w:rFonts w:ascii="微软雅黑" w:hAnsi="微软雅黑" w:eastAsia="微软雅黑"/>
          <w:b/>
          <w:color w:val="FFFFFF"/>
          <w:sz w:val="24"/>
          <w:highlight w:val="black"/>
        </w:rPr>
      </w:pPr>
      <w:bookmarkStart w:id="0" w:name="_Hlk106712323"/>
    </w:p>
    <w:p>
      <w:pPr>
        <w:spacing w:line="440" w:lineRule="exact"/>
        <w:rPr>
          <w:rFonts w:ascii="微软雅黑" w:hAnsi="微软雅黑" w:eastAsia="微软雅黑"/>
          <w:b/>
          <w:color w:val="FFFFFF"/>
          <w:sz w:val="24"/>
          <w:highlight w:val="black"/>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【课程背景】</w:t>
      </w:r>
      <w:bookmarkEnd w:id="0"/>
    </w:p>
    <w:p>
      <w:pPr>
        <w:spacing w:line="440" w:lineRule="exact"/>
        <w:rPr>
          <w:rFonts w:ascii="微软雅黑" w:hAnsi="微软雅黑" w:eastAsia="微软雅黑"/>
          <w:b/>
          <w:color w:val="FFFFFF"/>
          <w:sz w:val="24"/>
        </w:rPr>
      </w:pP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在当前房地产行业中，工程批量精装修管理一直是各地产公司管理的焦点和难点。面对错误百出的工程图纸，严苛的成本控制，不听话的供应商，紧张的建造周期、如何最大程度地提高项目精装修工程质量，减少客户投诉，降低工程整改、返工、无效成本，成为当前房地产项目精装修管理中的一项重要关键。</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40" w:lineRule="exact"/>
        <w:rPr>
          <w:rFonts w:ascii="微软雅黑" w:hAnsi="微软雅黑" w:eastAsia="微软雅黑"/>
          <w:b/>
          <w:color w:val="FFFFFF"/>
          <w:sz w:val="24"/>
          <w:highlight w:val="black"/>
        </w:rPr>
      </w:pPr>
    </w:p>
    <w:p>
      <w:pPr>
        <w:spacing w:line="440" w:lineRule="exact"/>
        <w:rPr>
          <w:rFonts w:ascii="微软雅黑" w:hAnsi="微软雅黑" w:eastAsia="微软雅黑"/>
          <w:b/>
          <w:color w:val="FFFFFF"/>
          <w:sz w:val="24"/>
          <w:highlight w:val="black"/>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numPr>
          <w:ilvl w:val="0"/>
          <w:numId w:val="1"/>
        </w:numPr>
        <w:spacing w:line="480" w:lineRule="exact"/>
        <w:ind w:left="851"/>
        <w:rPr>
          <w:rFonts w:ascii="微软雅黑" w:hAnsi="微软雅黑" w:eastAsia="微软雅黑" w:cs="微软雅黑"/>
          <w:sz w:val="24"/>
        </w:rPr>
      </w:pPr>
      <w:r>
        <w:rPr>
          <w:rFonts w:hint="eastAsia" w:ascii="微软雅黑" w:hAnsi="微软雅黑" w:eastAsia="微软雅黑" w:cs="微软雅黑"/>
          <w:sz w:val="24"/>
        </w:rPr>
        <w:t>理解掌握工程批量精装修管理与物业/客服精细化管理的重要性和关键要素，以更好地保证精装修缺陷反馈得以有效实施；</w:t>
      </w:r>
    </w:p>
    <w:p>
      <w:pPr>
        <w:numPr>
          <w:ilvl w:val="0"/>
          <w:numId w:val="1"/>
        </w:numPr>
        <w:spacing w:line="480" w:lineRule="exact"/>
        <w:ind w:left="851"/>
        <w:rPr>
          <w:rFonts w:ascii="微软雅黑" w:hAnsi="微软雅黑" w:eastAsia="微软雅黑" w:cs="微软雅黑"/>
          <w:sz w:val="24"/>
        </w:rPr>
      </w:pPr>
      <w:r>
        <w:rPr>
          <w:rFonts w:hint="eastAsia" w:ascii="微软雅黑" w:hAnsi="微软雅黑" w:eastAsia="微软雅黑" w:cs="微软雅黑"/>
          <w:sz w:val="24"/>
        </w:rPr>
        <w:t>理解掌握工程批量精装修管理前馈交底到设计管理的重要性和关键要素，以更好地保证设计工程精装修管理标准化图集成果得以认可；</w:t>
      </w:r>
    </w:p>
    <w:p>
      <w:pPr>
        <w:numPr>
          <w:ilvl w:val="0"/>
          <w:numId w:val="1"/>
        </w:numPr>
        <w:spacing w:line="480" w:lineRule="exact"/>
        <w:ind w:left="851"/>
        <w:rPr>
          <w:rFonts w:ascii="微软雅黑" w:hAnsi="微软雅黑" w:eastAsia="微软雅黑" w:cs="微软雅黑"/>
          <w:sz w:val="24"/>
        </w:rPr>
      </w:pPr>
      <w:r>
        <w:rPr>
          <w:rFonts w:hint="eastAsia" w:ascii="微软雅黑" w:hAnsi="微软雅黑" w:eastAsia="微软雅黑" w:cs="微软雅黑"/>
          <w:sz w:val="24"/>
        </w:rPr>
        <w:t>理解掌握工程批量精装修管理前馈交底到成本管理的重要性和关键要素，以更好的保证成本概算预算工程精装修管理需求标准的合理分配；</w:t>
      </w:r>
    </w:p>
    <w:p>
      <w:pPr>
        <w:numPr>
          <w:ilvl w:val="0"/>
          <w:numId w:val="1"/>
        </w:numPr>
        <w:spacing w:line="480" w:lineRule="exact"/>
        <w:ind w:left="851"/>
        <w:rPr>
          <w:rFonts w:ascii="微软雅黑" w:hAnsi="微软雅黑" w:eastAsia="微软雅黑" w:cs="微软雅黑"/>
          <w:sz w:val="24"/>
        </w:rPr>
      </w:pPr>
      <w:r>
        <w:rPr>
          <w:rFonts w:hint="eastAsia" w:ascii="微软雅黑" w:hAnsi="微软雅黑" w:eastAsia="微软雅黑" w:cs="微软雅黑"/>
          <w:sz w:val="24"/>
        </w:rPr>
        <w:t>理解掌握工程批量精装修管理前馈交底到采购管理的重要性和关键要素，以更好的保证工程技术标准和管理要求在合约中的落地,从而掌握管理总包、分包商、供应商和配套单位的主动；</w:t>
      </w:r>
    </w:p>
    <w:p>
      <w:pPr>
        <w:numPr>
          <w:ilvl w:val="0"/>
          <w:numId w:val="1"/>
        </w:numPr>
        <w:spacing w:line="480" w:lineRule="exact"/>
        <w:ind w:left="851"/>
        <w:rPr>
          <w:rFonts w:ascii="微软雅黑" w:hAnsi="微软雅黑" w:eastAsia="微软雅黑" w:cs="微软雅黑"/>
          <w:sz w:val="24"/>
        </w:rPr>
      </w:pPr>
      <w:r>
        <w:rPr>
          <w:rFonts w:hint="eastAsia" w:ascii="微软雅黑" w:hAnsi="微软雅黑" w:eastAsia="微软雅黑" w:cs="微软雅黑"/>
          <w:sz w:val="24"/>
        </w:rPr>
        <w:t>理解掌握工程批量精装修管理前馈交底到运营管理的重要性和关键要素，针对项目实际情况及公司现有资源制定合理的精装工程进度计划，以保证工程工期；</w:t>
      </w:r>
    </w:p>
    <w:p>
      <w:pPr>
        <w:spacing w:line="440" w:lineRule="exact"/>
        <w:rPr>
          <w:rFonts w:ascii="微软雅黑" w:hAnsi="微软雅黑" w:eastAsia="微软雅黑"/>
          <w:b/>
          <w:color w:val="FFFFFF"/>
          <w:sz w:val="24"/>
          <w:highlight w:val="black"/>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960" w:firstLineChars="400"/>
        <w:rPr>
          <w:rFonts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rPr>
          <w:rFonts w:ascii="微软雅黑" w:hAnsi="微软雅黑" w:eastAsia="微软雅黑"/>
          <w:b/>
          <w:color w:val="FFFFFF"/>
          <w:sz w:val="24"/>
          <w:highlight w:val="black"/>
        </w:rPr>
      </w:pPr>
    </w:p>
    <w:p>
      <w:pPr>
        <w:spacing w:line="440" w:lineRule="exact"/>
        <w:rPr>
          <w:rFonts w:ascii="微软雅黑" w:hAnsi="微软雅黑" w:eastAsia="微软雅黑"/>
          <w:b/>
          <w:color w:val="FFFFFF"/>
          <w:sz w:val="24"/>
          <w:highlight w:val="black"/>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340" w:lineRule="exact"/>
        <w:rPr>
          <w:b/>
          <w:bCs/>
          <w:color w:val="800000"/>
        </w:rPr>
      </w:pPr>
    </w:p>
    <w:p>
      <w:pPr>
        <w:spacing w:line="480" w:lineRule="exact"/>
        <w:rPr>
          <w:rFonts w:ascii="微软雅黑" w:hAnsi="微软雅黑" w:eastAsia="微软雅黑" w:cs="微软雅黑"/>
          <w:b/>
          <w:color w:val="FF0000"/>
          <w:sz w:val="24"/>
          <w:szCs w:val="24"/>
        </w:rPr>
      </w:pPr>
      <w:r>
        <w:rPr>
          <w:rFonts w:hint="eastAsia" w:ascii="微软雅黑" w:hAnsi="微软雅黑" w:eastAsia="微软雅黑" w:cs="微软雅黑"/>
          <w:b/>
          <w:color w:val="FF0000"/>
          <w:sz w:val="24"/>
          <w:szCs w:val="24"/>
        </w:rPr>
        <w:t>第一部分：批量精装修工程策划的管理要点与案例分析</w:t>
      </w:r>
    </w:p>
    <w:p>
      <w:pPr>
        <w:pStyle w:val="6"/>
        <w:numPr>
          <w:ilvl w:val="0"/>
          <w:numId w:val="2"/>
        </w:numPr>
        <w:spacing w:line="480" w:lineRule="exact"/>
        <w:ind w:left="1272" w:leftChars="337" w:hanging="564" w:hangingChars="235"/>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批量精装修工程技术策划管理</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精装修施工图集策划</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精装修设计交底策划</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精装修技术标准和管理要求策划</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精装修四图编制策划</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精装修施组和方案编制策划</w:t>
      </w:r>
    </w:p>
    <w:p>
      <w:pPr>
        <w:pStyle w:val="6"/>
        <w:numPr>
          <w:ilvl w:val="0"/>
          <w:numId w:val="2"/>
        </w:numPr>
        <w:spacing w:line="480" w:lineRule="exact"/>
        <w:ind w:left="1272" w:leftChars="337" w:hanging="564" w:hangingChars="235"/>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批量精装修工程质量策划管理</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精装修实测实量策划</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精装修质量风险策划</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试验专项策划</w:t>
      </w:r>
    </w:p>
    <w:p>
      <w:pPr>
        <w:pStyle w:val="6"/>
        <w:numPr>
          <w:ilvl w:val="0"/>
          <w:numId w:val="2"/>
        </w:numPr>
        <w:spacing w:line="480" w:lineRule="exact"/>
        <w:ind w:left="1272" w:leftChars="337" w:hanging="564" w:hangingChars="235"/>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批量精装修工程样板策划的重要性</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材料部品送认封策划</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三个样板间策划</w:t>
      </w:r>
    </w:p>
    <w:p>
      <w:pPr>
        <w:pStyle w:val="6"/>
        <w:numPr>
          <w:ilvl w:val="0"/>
          <w:numId w:val="2"/>
        </w:numPr>
        <w:spacing w:line="480" w:lineRule="exact"/>
        <w:ind w:left="1272" w:leftChars="337" w:hanging="564" w:hangingChars="235"/>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批量精装修工程进度策划管理</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进度现状</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周期对总成本影响</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时间与收益的逻辑关系和管理对策</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三级计划管控和项目全周期计划</w:t>
      </w:r>
    </w:p>
    <w:p>
      <w:pPr>
        <w:pStyle w:val="6"/>
        <w:numPr>
          <w:ilvl w:val="0"/>
          <w:numId w:val="2"/>
        </w:numPr>
        <w:spacing w:line="480" w:lineRule="exact"/>
        <w:ind w:left="1272" w:leftChars="337" w:hanging="564" w:hangingChars="235"/>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批量精装修工程交付维保策划</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交付考核目标的设置</w:t>
      </w:r>
    </w:p>
    <w:p>
      <w:pPr>
        <w:pStyle w:val="6"/>
        <w:numPr>
          <w:ilvl w:val="2"/>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交付率考核</w:t>
      </w:r>
    </w:p>
    <w:p>
      <w:pPr>
        <w:pStyle w:val="6"/>
        <w:numPr>
          <w:ilvl w:val="2"/>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投诉问题数考核</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交付方案的编制</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（工地开放日）的目的及作用</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业主、验房人员分级与对应机制</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微信群管理</w:t>
      </w:r>
    </w:p>
    <w:p>
      <w:pPr>
        <w:pStyle w:val="6"/>
        <w:numPr>
          <w:ilvl w:val="1"/>
          <w:numId w:val="2"/>
        </w:numPr>
        <w:spacing w:line="340" w:lineRule="exact"/>
        <w:ind w:left="1272" w:leftChars="337" w:hanging="564" w:hangingChars="235"/>
        <w:rPr>
          <w:rFonts w:ascii="微软雅黑" w:hAnsi="微软雅黑" w:eastAsia="微软雅黑"/>
          <w:b/>
          <w:bCs/>
          <w:sz w:val="24"/>
          <w:szCs w:val="24"/>
        </w:rPr>
      </w:pPr>
      <w:r>
        <w:rPr>
          <w:rFonts w:hint="eastAsia" w:ascii="微软雅黑" w:hAnsi="微软雅黑" w:eastAsia="微软雅黑"/>
          <w:b/>
          <w:bCs/>
          <w:sz w:val="24"/>
          <w:szCs w:val="24"/>
        </w:rPr>
        <w:t>意见领袖风险管理（苏莱曼尼之死）</w:t>
      </w:r>
    </w:p>
    <w:p>
      <w:pPr>
        <w:spacing w:line="480" w:lineRule="exact"/>
        <w:rPr>
          <w:rFonts w:ascii="微软雅黑" w:hAnsi="微软雅黑" w:eastAsia="微软雅黑" w:cs="微软雅黑"/>
          <w:b/>
          <w:bCs/>
          <w:color w:val="FF0000"/>
          <w:sz w:val="24"/>
          <w:szCs w:val="24"/>
        </w:rPr>
      </w:pPr>
      <w:r>
        <w:rPr>
          <w:rFonts w:hint="eastAsia" w:ascii="微软雅黑" w:hAnsi="微软雅黑" w:eastAsia="微软雅黑" w:cs="微软雅黑"/>
          <w:b/>
          <w:bCs/>
          <w:color w:val="FF0000"/>
          <w:sz w:val="24"/>
          <w:szCs w:val="24"/>
        </w:rPr>
        <w:t>第二部分：批量精装修工程设计管理的关键要点与案例分析</w:t>
      </w:r>
    </w:p>
    <w:p>
      <w:pPr>
        <w:pStyle w:val="6"/>
        <w:numPr>
          <w:ilvl w:val="0"/>
          <w:numId w:val="3"/>
        </w:numPr>
        <w:pBdr>
          <w:bottom w:val="single" w:color="auto" w:sz="4" w:space="1"/>
        </w:pBdr>
        <w:tabs>
          <w:tab w:val="left" w:pos="1134"/>
        </w:tabs>
        <w:spacing w:line="480" w:lineRule="exact"/>
        <w:ind w:left="1418" w:hanging="709"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批量精装修工程对设计质量管理的五大环节剖析</w:t>
      </w:r>
    </w:p>
    <w:p>
      <w:pPr>
        <w:pStyle w:val="6"/>
        <w:numPr>
          <w:ilvl w:val="1"/>
          <w:numId w:val="3"/>
        </w:numPr>
        <w:tabs>
          <w:tab w:val="left" w:pos="1134"/>
        </w:tabs>
        <w:spacing w:line="340" w:lineRule="exact"/>
        <w:ind w:left="1418" w:hanging="709" w:firstLineChars="0"/>
        <w:rPr>
          <w:rFonts w:ascii="微软雅黑" w:hAnsi="微软雅黑" w:eastAsia="微软雅黑"/>
          <w:b/>
          <w:bCs/>
          <w:sz w:val="24"/>
          <w:szCs w:val="24"/>
        </w:rPr>
      </w:pPr>
      <w:r>
        <w:rPr>
          <w:rFonts w:hint="eastAsia" w:ascii="微软雅黑" w:hAnsi="微软雅黑" w:eastAsia="微软雅黑"/>
          <w:b/>
          <w:bCs/>
          <w:sz w:val="24"/>
          <w:szCs w:val="24"/>
        </w:rPr>
        <w:t>不重视使用功能和专业协同</w:t>
      </w:r>
    </w:p>
    <w:p>
      <w:pPr>
        <w:pStyle w:val="6"/>
        <w:numPr>
          <w:ilvl w:val="2"/>
          <w:numId w:val="3"/>
        </w:numPr>
        <w:tabs>
          <w:tab w:val="left" w:pos="1134"/>
        </w:tabs>
        <w:spacing w:line="340" w:lineRule="exact"/>
        <w:ind w:left="1418" w:firstLineChars="0"/>
        <w:rPr>
          <w:rFonts w:ascii="微软雅黑" w:hAnsi="微软雅黑" w:eastAsia="微软雅黑"/>
          <w:b/>
          <w:bCs/>
          <w:sz w:val="24"/>
          <w:szCs w:val="24"/>
        </w:rPr>
      </w:pPr>
      <w:r>
        <w:rPr>
          <w:rFonts w:hint="eastAsia" w:ascii="微软雅黑" w:hAnsi="微软雅黑" w:eastAsia="微软雅黑"/>
          <w:b/>
          <w:bCs/>
          <w:sz w:val="24"/>
          <w:szCs w:val="24"/>
        </w:rPr>
        <w:t>注重得房率，轻视设备</w:t>
      </w:r>
    </w:p>
    <w:p>
      <w:pPr>
        <w:pStyle w:val="6"/>
        <w:numPr>
          <w:ilvl w:val="2"/>
          <w:numId w:val="3"/>
        </w:numPr>
        <w:tabs>
          <w:tab w:val="left" w:pos="1134"/>
        </w:tabs>
        <w:spacing w:line="340" w:lineRule="exact"/>
        <w:ind w:left="1418" w:firstLineChars="0"/>
        <w:rPr>
          <w:rFonts w:ascii="微软雅黑" w:hAnsi="微软雅黑" w:eastAsia="微软雅黑"/>
          <w:b/>
          <w:bCs/>
          <w:sz w:val="24"/>
          <w:szCs w:val="24"/>
        </w:rPr>
      </w:pPr>
      <w:r>
        <w:rPr>
          <w:rFonts w:hint="eastAsia" w:ascii="微软雅黑" w:hAnsi="微软雅黑" w:eastAsia="微软雅黑"/>
          <w:b/>
          <w:bCs/>
          <w:sz w:val="24"/>
          <w:szCs w:val="24"/>
        </w:rPr>
        <w:t>拓展面积（设备阳台）</w:t>
      </w:r>
    </w:p>
    <w:p>
      <w:pPr>
        <w:pStyle w:val="6"/>
        <w:numPr>
          <w:ilvl w:val="2"/>
          <w:numId w:val="3"/>
        </w:numPr>
        <w:tabs>
          <w:tab w:val="left" w:pos="1134"/>
        </w:tabs>
        <w:spacing w:line="340" w:lineRule="exact"/>
        <w:ind w:left="1418" w:firstLineChars="0"/>
        <w:rPr>
          <w:rFonts w:ascii="微软雅黑" w:hAnsi="微软雅黑" w:eastAsia="微软雅黑"/>
          <w:b/>
          <w:bCs/>
          <w:sz w:val="24"/>
          <w:szCs w:val="24"/>
        </w:rPr>
      </w:pPr>
      <w:r>
        <w:rPr>
          <w:rFonts w:hint="eastAsia" w:ascii="微软雅黑" w:hAnsi="微软雅黑" w:eastAsia="微软雅黑"/>
          <w:b/>
          <w:bCs/>
          <w:sz w:val="24"/>
          <w:szCs w:val="24"/>
        </w:rPr>
        <w:t>设备阳台功能不足。</w:t>
      </w:r>
    </w:p>
    <w:p>
      <w:pPr>
        <w:pStyle w:val="6"/>
        <w:numPr>
          <w:ilvl w:val="1"/>
          <w:numId w:val="3"/>
        </w:numPr>
        <w:tabs>
          <w:tab w:val="left" w:pos="1134"/>
        </w:tabs>
        <w:spacing w:line="340" w:lineRule="exact"/>
        <w:ind w:left="1418" w:hanging="709" w:firstLineChars="0"/>
        <w:rPr>
          <w:rFonts w:ascii="微软雅黑" w:hAnsi="微软雅黑" w:eastAsia="微软雅黑"/>
          <w:b/>
          <w:bCs/>
          <w:sz w:val="24"/>
          <w:szCs w:val="24"/>
        </w:rPr>
      </w:pPr>
      <w:r>
        <w:rPr>
          <w:rFonts w:hint="eastAsia" w:ascii="微软雅黑" w:hAnsi="微软雅黑" w:eastAsia="微软雅黑"/>
          <w:b/>
          <w:bCs/>
          <w:sz w:val="24"/>
          <w:szCs w:val="24"/>
        </w:rPr>
        <w:t>外墙内保温</w:t>
      </w:r>
    </w:p>
    <w:p>
      <w:pPr>
        <w:pStyle w:val="6"/>
        <w:numPr>
          <w:ilvl w:val="2"/>
          <w:numId w:val="3"/>
        </w:numPr>
        <w:tabs>
          <w:tab w:val="left" w:pos="1134"/>
        </w:tabs>
        <w:spacing w:line="340" w:lineRule="exact"/>
        <w:ind w:left="1418" w:firstLineChars="0"/>
        <w:rPr>
          <w:rFonts w:ascii="微软雅黑" w:hAnsi="微软雅黑" w:eastAsia="微软雅黑"/>
          <w:b/>
          <w:bCs/>
          <w:sz w:val="24"/>
          <w:szCs w:val="24"/>
        </w:rPr>
      </w:pPr>
      <w:r>
        <w:rPr>
          <w:rFonts w:hint="eastAsia" w:ascii="微软雅黑" w:hAnsi="微软雅黑" w:eastAsia="微软雅黑"/>
          <w:b/>
          <w:bCs/>
          <w:sz w:val="24"/>
          <w:szCs w:val="24"/>
        </w:rPr>
        <w:t>保温砂浆影响墙砖铺贴和防水施工</w:t>
      </w:r>
    </w:p>
    <w:p>
      <w:pPr>
        <w:pStyle w:val="6"/>
        <w:numPr>
          <w:ilvl w:val="0"/>
          <w:numId w:val="3"/>
        </w:numPr>
        <w:pBdr>
          <w:bottom w:val="single" w:color="auto" w:sz="4" w:space="1"/>
        </w:pBdr>
        <w:tabs>
          <w:tab w:val="left" w:pos="1134"/>
        </w:tabs>
        <w:spacing w:line="480" w:lineRule="exact"/>
        <w:ind w:left="1418" w:hanging="709"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批量精装修工程对缺陷反馈的重要性及必要性分析</w:t>
      </w:r>
    </w:p>
    <w:p>
      <w:pPr>
        <w:pStyle w:val="6"/>
        <w:numPr>
          <w:ilvl w:val="0"/>
          <w:numId w:val="3"/>
        </w:numPr>
        <w:tabs>
          <w:tab w:val="left" w:pos="1134"/>
        </w:tabs>
        <w:spacing w:line="480" w:lineRule="exact"/>
        <w:ind w:left="1418" w:hanging="709"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批量精装修工程对施工图集管理的重要性和必要性分析</w:t>
      </w:r>
    </w:p>
    <w:p>
      <w:pPr>
        <w:pStyle w:val="6"/>
        <w:numPr>
          <w:ilvl w:val="0"/>
          <w:numId w:val="3"/>
        </w:numPr>
        <w:tabs>
          <w:tab w:val="left" w:pos="1134"/>
        </w:tabs>
        <w:spacing w:line="480" w:lineRule="exact"/>
        <w:ind w:left="1418" w:hanging="709"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批量精装修工程对设计交底该怎样进行才能更加有效？</w:t>
      </w:r>
    </w:p>
    <w:p>
      <w:pPr>
        <w:pStyle w:val="6"/>
        <w:numPr>
          <w:ilvl w:val="1"/>
          <w:numId w:val="3"/>
        </w:numPr>
        <w:tabs>
          <w:tab w:val="left" w:pos="1134"/>
        </w:tabs>
        <w:spacing w:line="340" w:lineRule="exact"/>
        <w:ind w:left="1418" w:hanging="709" w:firstLineChars="0"/>
        <w:rPr>
          <w:rFonts w:ascii="微软雅黑" w:hAnsi="微软雅黑" w:eastAsia="微软雅黑"/>
          <w:b/>
          <w:bCs/>
          <w:sz w:val="24"/>
          <w:szCs w:val="24"/>
        </w:rPr>
      </w:pPr>
      <w:r>
        <w:rPr>
          <w:rFonts w:hint="eastAsia" w:ascii="微软雅黑" w:hAnsi="微软雅黑" w:eastAsia="微软雅黑"/>
          <w:b/>
          <w:bCs/>
          <w:sz w:val="24"/>
          <w:szCs w:val="24"/>
        </w:rPr>
        <w:t>剪力墙开关、插座管预留</w:t>
      </w:r>
    </w:p>
    <w:p>
      <w:pPr>
        <w:pStyle w:val="6"/>
        <w:numPr>
          <w:ilvl w:val="1"/>
          <w:numId w:val="3"/>
        </w:numPr>
        <w:tabs>
          <w:tab w:val="left" w:pos="1134"/>
        </w:tabs>
        <w:spacing w:line="340" w:lineRule="exact"/>
        <w:ind w:left="1418" w:hanging="709" w:firstLineChars="0"/>
        <w:rPr>
          <w:rFonts w:ascii="微软雅黑" w:hAnsi="微软雅黑" w:eastAsia="微软雅黑"/>
          <w:b/>
          <w:bCs/>
          <w:sz w:val="24"/>
          <w:szCs w:val="24"/>
        </w:rPr>
      </w:pPr>
      <w:r>
        <w:rPr>
          <w:rFonts w:hint="eastAsia" w:ascii="微软雅黑" w:hAnsi="微软雅黑" w:eastAsia="微软雅黑"/>
          <w:b/>
          <w:bCs/>
          <w:sz w:val="24"/>
          <w:szCs w:val="24"/>
        </w:rPr>
        <w:t xml:space="preserve">孔洞预留 </w:t>
      </w:r>
    </w:p>
    <w:p>
      <w:pPr>
        <w:pStyle w:val="6"/>
        <w:numPr>
          <w:ilvl w:val="1"/>
          <w:numId w:val="3"/>
        </w:numPr>
        <w:tabs>
          <w:tab w:val="left" w:pos="1134"/>
        </w:tabs>
        <w:spacing w:line="340" w:lineRule="exact"/>
        <w:ind w:left="1418" w:hanging="709" w:firstLineChars="0"/>
        <w:rPr>
          <w:rFonts w:ascii="微软雅黑" w:hAnsi="微软雅黑" w:eastAsia="微软雅黑"/>
          <w:b/>
          <w:bCs/>
          <w:sz w:val="24"/>
          <w:szCs w:val="24"/>
        </w:rPr>
      </w:pPr>
      <w:r>
        <w:rPr>
          <w:rFonts w:hint="eastAsia" w:ascii="微软雅黑" w:hAnsi="微软雅黑" w:eastAsia="微软雅黑"/>
          <w:b/>
          <w:bCs/>
          <w:sz w:val="24"/>
          <w:szCs w:val="24"/>
        </w:rPr>
        <w:t>无墙垛，砌筑错误</w:t>
      </w:r>
    </w:p>
    <w:p>
      <w:pPr>
        <w:pStyle w:val="6"/>
        <w:numPr>
          <w:ilvl w:val="1"/>
          <w:numId w:val="3"/>
        </w:numPr>
        <w:tabs>
          <w:tab w:val="left" w:pos="1134"/>
        </w:tabs>
        <w:spacing w:line="340" w:lineRule="exact"/>
        <w:ind w:left="1418" w:hanging="709" w:firstLineChars="0"/>
        <w:rPr>
          <w:rFonts w:ascii="微软雅黑" w:hAnsi="微软雅黑" w:eastAsia="微软雅黑"/>
          <w:b/>
          <w:bCs/>
          <w:sz w:val="24"/>
          <w:szCs w:val="24"/>
        </w:rPr>
      </w:pPr>
      <w:r>
        <w:rPr>
          <w:rFonts w:hint="eastAsia" w:ascii="微软雅黑" w:hAnsi="微软雅黑" w:eastAsia="微软雅黑"/>
          <w:b/>
          <w:bCs/>
          <w:sz w:val="24"/>
          <w:szCs w:val="24"/>
        </w:rPr>
        <w:t>结构标高：有地暖项目对结构标高要做项目验算</w:t>
      </w:r>
    </w:p>
    <w:p>
      <w:pPr>
        <w:pStyle w:val="6"/>
        <w:numPr>
          <w:ilvl w:val="1"/>
          <w:numId w:val="3"/>
        </w:numPr>
        <w:tabs>
          <w:tab w:val="left" w:pos="1134"/>
        </w:tabs>
        <w:spacing w:line="340" w:lineRule="exact"/>
        <w:ind w:left="1418" w:hanging="709" w:firstLineChars="0"/>
        <w:rPr>
          <w:rFonts w:ascii="微软雅黑" w:hAnsi="微软雅黑" w:eastAsia="微软雅黑"/>
          <w:b/>
          <w:bCs/>
          <w:sz w:val="24"/>
          <w:szCs w:val="24"/>
        </w:rPr>
      </w:pPr>
      <w:r>
        <w:rPr>
          <w:rFonts w:hint="eastAsia" w:ascii="微软雅黑" w:hAnsi="微软雅黑" w:eastAsia="微软雅黑"/>
          <w:b/>
          <w:bCs/>
          <w:sz w:val="24"/>
          <w:szCs w:val="24"/>
        </w:rPr>
        <w:t>结构防水：自防水才是根本</w:t>
      </w:r>
    </w:p>
    <w:p>
      <w:pPr>
        <w:pStyle w:val="6"/>
        <w:numPr>
          <w:ilvl w:val="0"/>
          <w:numId w:val="3"/>
        </w:numPr>
        <w:tabs>
          <w:tab w:val="left" w:pos="1134"/>
        </w:tabs>
        <w:spacing w:line="480" w:lineRule="exact"/>
        <w:ind w:left="1418" w:hanging="709"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批量精装修工程对施工图审查管理的6大环节剖析</w:t>
      </w:r>
    </w:p>
    <w:p>
      <w:pPr>
        <w:pStyle w:val="6"/>
        <w:numPr>
          <w:ilvl w:val="1"/>
          <w:numId w:val="3"/>
        </w:numPr>
        <w:tabs>
          <w:tab w:val="left" w:pos="1134"/>
        </w:tabs>
        <w:spacing w:line="340" w:lineRule="exact"/>
        <w:ind w:left="1418" w:hanging="709" w:firstLineChars="0"/>
        <w:rPr>
          <w:rFonts w:ascii="微软雅黑" w:hAnsi="微软雅黑" w:eastAsia="微软雅黑"/>
          <w:b/>
          <w:bCs/>
          <w:sz w:val="24"/>
          <w:szCs w:val="24"/>
        </w:rPr>
      </w:pPr>
      <w:r>
        <w:rPr>
          <w:rFonts w:hint="eastAsia" w:ascii="微软雅黑" w:hAnsi="微软雅黑" w:eastAsia="微软雅黑"/>
          <w:b/>
          <w:bCs/>
          <w:sz w:val="24"/>
          <w:szCs w:val="24"/>
        </w:rPr>
        <w:t>建筑图审核及砌筑管理是减少大额无效成本的关键</w:t>
      </w:r>
    </w:p>
    <w:p>
      <w:pPr>
        <w:pStyle w:val="6"/>
        <w:numPr>
          <w:ilvl w:val="1"/>
          <w:numId w:val="3"/>
        </w:numPr>
        <w:tabs>
          <w:tab w:val="left" w:pos="1134"/>
        </w:tabs>
        <w:spacing w:line="340" w:lineRule="exact"/>
        <w:ind w:left="1418" w:hanging="709" w:firstLineChars="0"/>
        <w:rPr>
          <w:rFonts w:ascii="微软雅黑" w:hAnsi="微软雅黑" w:eastAsia="微软雅黑"/>
          <w:b/>
          <w:bCs/>
          <w:sz w:val="24"/>
          <w:szCs w:val="24"/>
        </w:rPr>
      </w:pPr>
      <w:r>
        <w:rPr>
          <w:rFonts w:hint="eastAsia" w:ascii="微软雅黑" w:hAnsi="微软雅黑" w:eastAsia="微软雅黑"/>
          <w:b/>
          <w:bCs/>
          <w:sz w:val="24"/>
          <w:szCs w:val="24"/>
        </w:rPr>
        <w:t>刚需的精装修必须在土建阶段，把所有的管盒至配电箱（含弱电）的所有预埋完成。</w:t>
      </w:r>
    </w:p>
    <w:p>
      <w:pPr>
        <w:spacing w:line="480" w:lineRule="exact"/>
        <w:rPr>
          <w:rFonts w:ascii="微软雅黑" w:hAnsi="微软雅黑" w:eastAsia="微软雅黑" w:cs="微软雅黑"/>
          <w:b/>
          <w:bCs/>
          <w:sz w:val="24"/>
          <w:szCs w:val="24"/>
        </w:rPr>
      </w:pPr>
      <w:r>
        <w:rPr>
          <w:rFonts w:hint="eastAsia" w:ascii="微软雅黑" w:hAnsi="微软雅黑" w:eastAsia="微软雅黑" w:cs="微软雅黑"/>
          <w:b/>
          <w:bCs/>
          <w:color w:val="FF0000"/>
          <w:sz w:val="24"/>
          <w:szCs w:val="24"/>
        </w:rPr>
        <w:t>第三部分：批量精装修工程供方管理的关键要点与案例分析</w:t>
      </w:r>
    </w:p>
    <w:p>
      <w:pPr>
        <w:pStyle w:val="6"/>
        <w:numPr>
          <w:ilvl w:val="0"/>
          <w:numId w:val="4"/>
        </w:numPr>
        <w:tabs>
          <w:tab w:val="left" w:pos="1418"/>
        </w:tabs>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批量精装修合约界面划分的重要性及必要性分析</w:t>
      </w:r>
    </w:p>
    <w:p>
      <w:pPr>
        <w:pStyle w:val="6"/>
        <w:numPr>
          <w:ilvl w:val="1"/>
          <w:numId w:val="4"/>
        </w:numPr>
        <w:tabs>
          <w:tab w:val="left" w:pos="1418"/>
        </w:tabs>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土建总包界面</w:t>
      </w:r>
    </w:p>
    <w:p>
      <w:pPr>
        <w:pStyle w:val="6"/>
        <w:numPr>
          <w:ilvl w:val="1"/>
          <w:numId w:val="4"/>
        </w:numPr>
        <w:tabs>
          <w:tab w:val="left" w:pos="1418"/>
        </w:tabs>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总包安装强弱电界面</w:t>
      </w:r>
    </w:p>
    <w:p>
      <w:pPr>
        <w:pStyle w:val="6"/>
        <w:numPr>
          <w:ilvl w:val="1"/>
          <w:numId w:val="4"/>
        </w:numPr>
        <w:tabs>
          <w:tab w:val="left" w:pos="1418"/>
        </w:tabs>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总包安装给排水界面</w:t>
      </w:r>
    </w:p>
    <w:p>
      <w:pPr>
        <w:pStyle w:val="6"/>
        <w:numPr>
          <w:ilvl w:val="1"/>
          <w:numId w:val="4"/>
        </w:numPr>
        <w:tabs>
          <w:tab w:val="left" w:pos="1418"/>
        </w:tabs>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机电分包单位界面</w:t>
      </w:r>
    </w:p>
    <w:p>
      <w:pPr>
        <w:pStyle w:val="6"/>
        <w:numPr>
          <w:ilvl w:val="1"/>
          <w:numId w:val="4"/>
        </w:numPr>
        <w:tabs>
          <w:tab w:val="left" w:pos="1418"/>
        </w:tabs>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精装修总包界面</w:t>
      </w:r>
    </w:p>
    <w:p>
      <w:pPr>
        <w:pStyle w:val="6"/>
        <w:numPr>
          <w:ilvl w:val="1"/>
          <w:numId w:val="4"/>
        </w:numPr>
        <w:tabs>
          <w:tab w:val="left" w:pos="1418"/>
        </w:tabs>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精装修各分包界面</w:t>
      </w:r>
    </w:p>
    <w:p>
      <w:pPr>
        <w:pStyle w:val="6"/>
        <w:numPr>
          <w:ilvl w:val="0"/>
          <w:numId w:val="4"/>
        </w:numPr>
        <w:tabs>
          <w:tab w:val="left" w:pos="1418"/>
        </w:tabs>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批量精装修技术标准的重要性及必要性分析</w:t>
      </w:r>
    </w:p>
    <w:p>
      <w:pPr>
        <w:pStyle w:val="6"/>
        <w:numPr>
          <w:ilvl w:val="1"/>
          <w:numId w:val="4"/>
        </w:numPr>
        <w:tabs>
          <w:tab w:val="left" w:pos="1418"/>
        </w:tabs>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防空裂:系统介绍批量精装修防空裂技术关键要点（材料分析+图形分解+图片展示）</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混凝土</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砌体</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水泥砂浆</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轻钢龙骨石膏板</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石材</w:t>
      </w:r>
    </w:p>
    <w:p>
      <w:pPr>
        <w:pStyle w:val="6"/>
        <w:numPr>
          <w:ilvl w:val="3"/>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 xml:space="preserve">龙骨防锈    </w:t>
      </w:r>
    </w:p>
    <w:p>
      <w:pPr>
        <w:pStyle w:val="6"/>
        <w:numPr>
          <w:ilvl w:val="3"/>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石材厚度处理</w:t>
      </w:r>
    </w:p>
    <w:p>
      <w:pPr>
        <w:pStyle w:val="6"/>
        <w:numPr>
          <w:ilvl w:val="3"/>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石材挂件要求</w:t>
      </w:r>
    </w:p>
    <w:p>
      <w:pPr>
        <w:pStyle w:val="6"/>
        <w:numPr>
          <w:ilvl w:val="3"/>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石材胶</w:t>
      </w:r>
    </w:p>
    <w:p>
      <w:pPr>
        <w:pStyle w:val="6"/>
        <w:numPr>
          <w:ilvl w:val="3"/>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石材背网</w:t>
      </w:r>
    </w:p>
    <w:p>
      <w:pPr>
        <w:pStyle w:val="6"/>
        <w:numPr>
          <w:ilvl w:val="3"/>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石材封闭</w:t>
      </w:r>
    </w:p>
    <w:p>
      <w:pPr>
        <w:pStyle w:val="6"/>
        <w:numPr>
          <w:ilvl w:val="3"/>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石材结晶</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瓷砖</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玻璃</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木作</w:t>
      </w:r>
    </w:p>
    <w:p>
      <w:pPr>
        <w:pStyle w:val="6"/>
        <w:numPr>
          <w:ilvl w:val="3"/>
          <w:numId w:val="4"/>
        </w:numPr>
        <w:tabs>
          <w:tab w:val="left" w:pos="1418"/>
        </w:tabs>
        <w:spacing w:line="340" w:lineRule="exact"/>
        <w:ind w:left="1276" w:hanging="567" w:firstLineChars="0"/>
        <w:rPr>
          <w:rFonts w:ascii="微软雅黑" w:hAnsi="微软雅黑" w:eastAsia="微软雅黑"/>
          <w:b/>
          <w:bCs/>
          <w:color w:val="000000" w:themeColor="text1"/>
          <w:sz w:val="24"/>
          <w:szCs w:val="24"/>
          <w14:textFill>
            <w14:solidFill>
              <w14:schemeClr w14:val="tx1"/>
            </w14:solidFill>
          </w14:textFill>
        </w:rPr>
      </w:pPr>
      <w:r>
        <w:rPr>
          <w:rFonts w:hint="eastAsia" w:ascii="微软雅黑" w:hAnsi="微软雅黑" w:eastAsia="微软雅黑"/>
          <w:b/>
          <w:bCs/>
          <w:color w:val="000000" w:themeColor="text1"/>
          <w:sz w:val="24"/>
          <w:szCs w:val="24"/>
          <w14:textFill>
            <w14:solidFill>
              <w14:schemeClr w14:val="tx1"/>
            </w14:solidFill>
          </w14:textFill>
        </w:rPr>
        <w:t>厨柜</w:t>
      </w:r>
    </w:p>
    <w:p>
      <w:pPr>
        <w:pStyle w:val="6"/>
        <w:numPr>
          <w:ilvl w:val="3"/>
          <w:numId w:val="4"/>
        </w:numPr>
        <w:tabs>
          <w:tab w:val="left" w:pos="1418"/>
        </w:tabs>
        <w:spacing w:line="340" w:lineRule="exact"/>
        <w:ind w:left="1276" w:hanging="567" w:firstLineChars="0"/>
        <w:rPr>
          <w:rFonts w:ascii="微软雅黑" w:hAnsi="微软雅黑" w:eastAsia="微软雅黑"/>
          <w:b/>
          <w:bCs/>
          <w:color w:val="000000" w:themeColor="text1"/>
          <w:sz w:val="24"/>
          <w:szCs w:val="24"/>
          <w14:textFill>
            <w14:solidFill>
              <w14:schemeClr w14:val="tx1"/>
            </w14:solidFill>
          </w14:textFill>
        </w:rPr>
      </w:pPr>
      <w:r>
        <w:rPr>
          <w:rFonts w:hint="eastAsia" w:ascii="微软雅黑" w:hAnsi="微软雅黑" w:eastAsia="微软雅黑"/>
          <w:b/>
          <w:bCs/>
          <w:color w:val="000000" w:themeColor="text1"/>
          <w:sz w:val="24"/>
          <w:szCs w:val="24"/>
          <w14:textFill>
            <w14:solidFill>
              <w14:schemeClr w14:val="tx1"/>
            </w14:solidFill>
          </w14:textFill>
        </w:rPr>
        <w:t xml:space="preserve">壁柜 </w:t>
      </w:r>
    </w:p>
    <w:p>
      <w:pPr>
        <w:pStyle w:val="6"/>
        <w:numPr>
          <w:ilvl w:val="3"/>
          <w:numId w:val="4"/>
        </w:numPr>
        <w:tabs>
          <w:tab w:val="left" w:pos="1418"/>
        </w:tabs>
        <w:spacing w:line="340" w:lineRule="exact"/>
        <w:ind w:left="1276" w:hanging="567" w:firstLineChars="0"/>
        <w:rPr>
          <w:rFonts w:ascii="微软雅黑" w:hAnsi="微软雅黑" w:eastAsia="微软雅黑"/>
          <w:b/>
          <w:bCs/>
          <w:color w:val="000000" w:themeColor="text1"/>
          <w:sz w:val="24"/>
          <w:szCs w:val="24"/>
          <w14:textFill>
            <w14:solidFill>
              <w14:schemeClr w14:val="tx1"/>
            </w14:solidFill>
          </w14:textFill>
        </w:rPr>
      </w:pPr>
      <w:r>
        <w:rPr>
          <w:rFonts w:hint="eastAsia" w:ascii="微软雅黑" w:hAnsi="微软雅黑" w:eastAsia="微软雅黑"/>
          <w:b/>
          <w:bCs/>
          <w:color w:val="000000" w:themeColor="text1"/>
          <w:sz w:val="24"/>
          <w:szCs w:val="24"/>
          <w14:textFill>
            <w14:solidFill>
              <w14:schemeClr w14:val="tx1"/>
            </w14:solidFill>
          </w14:textFill>
        </w:rPr>
        <w:t xml:space="preserve">入户门 </w:t>
      </w:r>
    </w:p>
    <w:p>
      <w:pPr>
        <w:pStyle w:val="6"/>
        <w:numPr>
          <w:ilvl w:val="3"/>
          <w:numId w:val="4"/>
        </w:numPr>
        <w:tabs>
          <w:tab w:val="left" w:pos="1418"/>
        </w:tabs>
        <w:spacing w:line="340" w:lineRule="exact"/>
        <w:ind w:left="1276" w:hanging="567" w:firstLineChars="0"/>
        <w:rPr>
          <w:rFonts w:ascii="微软雅黑" w:hAnsi="微软雅黑" w:eastAsia="微软雅黑"/>
          <w:b/>
          <w:bCs/>
          <w:color w:val="000000" w:themeColor="text1"/>
          <w:sz w:val="24"/>
          <w:szCs w:val="24"/>
          <w14:textFill>
            <w14:solidFill>
              <w14:schemeClr w14:val="tx1"/>
            </w14:solidFill>
          </w14:textFill>
        </w:rPr>
      </w:pPr>
      <w:r>
        <w:rPr>
          <w:rFonts w:hint="eastAsia" w:ascii="微软雅黑" w:hAnsi="微软雅黑" w:eastAsia="微软雅黑"/>
          <w:b/>
          <w:bCs/>
          <w:color w:val="000000" w:themeColor="text1"/>
          <w:sz w:val="24"/>
          <w:szCs w:val="24"/>
          <w14:textFill>
            <w14:solidFill>
              <w14:schemeClr w14:val="tx1"/>
            </w14:solidFill>
          </w14:textFill>
        </w:rPr>
        <w:t xml:space="preserve">户内门 </w:t>
      </w:r>
    </w:p>
    <w:p>
      <w:pPr>
        <w:pStyle w:val="6"/>
        <w:numPr>
          <w:ilvl w:val="3"/>
          <w:numId w:val="4"/>
        </w:numPr>
        <w:tabs>
          <w:tab w:val="left" w:pos="1418"/>
        </w:tabs>
        <w:spacing w:line="340" w:lineRule="exact"/>
        <w:ind w:left="1276" w:hanging="567" w:firstLineChars="0"/>
        <w:rPr>
          <w:rFonts w:ascii="微软雅黑" w:hAnsi="微软雅黑" w:eastAsia="微软雅黑"/>
          <w:b/>
          <w:bCs/>
          <w:color w:val="000000" w:themeColor="text1"/>
          <w:sz w:val="24"/>
          <w:szCs w:val="24"/>
          <w14:textFill>
            <w14:solidFill>
              <w14:schemeClr w14:val="tx1"/>
            </w14:solidFill>
          </w14:textFill>
        </w:rPr>
      </w:pPr>
      <w:r>
        <w:rPr>
          <w:rFonts w:hint="eastAsia" w:ascii="微软雅黑" w:hAnsi="微软雅黑" w:eastAsia="微软雅黑"/>
          <w:b/>
          <w:bCs/>
          <w:color w:val="000000" w:themeColor="text1"/>
          <w:sz w:val="24"/>
          <w:szCs w:val="24"/>
          <w14:textFill>
            <w14:solidFill>
              <w14:schemeClr w14:val="tx1"/>
            </w14:solidFill>
          </w14:textFill>
        </w:rPr>
        <w:t>木饰面板</w:t>
      </w:r>
    </w:p>
    <w:p>
      <w:pPr>
        <w:pStyle w:val="6"/>
        <w:numPr>
          <w:ilvl w:val="3"/>
          <w:numId w:val="4"/>
        </w:numPr>
        <w:tabs>
          <w:tab w:val="left" w:pos="1418"/>
        </w:tabs>
        <w:spacing w:line="340" w:lineRule="exact"/>
        <w:ind w:left="1276" w:hanging="567" w:firstLineChars="0"/>
        <w:rPr>
          <w:rFonts w:ascii="微软雅黑" w:hAnsi="微软雅黑" w:eastAsia="微软雅黑"/>
          <w:b/>
          <w:bCs/>
          <w:color w:val="000000" w:themeColor="text1"/>
          <w:sz w:val="24"/>
          <w:szCs w:val="24"/>
          <w14:textFill>
            <w14:solidFill>
              <w14:schemeClr w14:val="tx1"/>
            </w14:solidFill>
          </w14:textFill>
        </w:rPr>
      </w:pPr>
      <w:r>
        <w:rPr>
          <w:rFonts w:hint="eastAsia" w:ascii="微软雅黑" w:hAnsi="微软雅黑" w:eastAsia="微软雅黑"/>
          <w:b/>
          <w:bCs/>
          <w:color w:val="000000" w:themeColor="text1"/>
          <w:sz w:val="24"/>
          <w:szCs w:val="24"/>
          <w14:textFill>
            <w14:solidFill>
              <w14:schemeClr w14:val="tx1"/>
            </w14:solidFill>
          </w14:textFill>
        </w:rPr>
        <w:t>地板的各种铺法和管控要点</w:t>
      </w:r>
    </w:p>
    <w:p>
      <w:pPr>
        <w:pStyle w:val="6"/>
        <w:numPr>
          <w:ilvl w:val="4"/>
          <w:numId w:val="4"/>
        </w:numPr>
        <w:tabs>
          <w:tab w:val="left" w:pos="1418"/>
        </w:tabs>
        <w:spacing w:line="340" w:lineRule="exact"/>
        <w:ind w:left="1276" w:hanging="567" w:firstLineChars="0"/>
        <w:rPr>
          <w:rFonts w:ascii="微软雅黑" w:hAnsi="微软雅黑" w:eastAsia="微软雅黑"/>
          <w:b/>
          <w:bCs/>
          <w:color w:val="000000" w:themeColor="text1"/>
          <w:sz w:val="24"/>
          <w:szCs w:val="24"/>
          <w14:textFill>
            <w14:solidFill>
              <w14:schemeClr w14:val="tx1"/>
            </w14:solidFill>
          </w14:textFill>
        </w:rPr>
      </w:pPr>
      <w:r>
        <w:rPr>
          <w:rFonts w:hint="eastAsia" w:ascii="微软雅黑" w:hAnsi="微软雅黑" w:eastAsia="微软雅黑"/>
          <w:b/>
          <w:bCs/>
          <w:color w:val="000000" w:themeColor="text1"/>
          <w:sz w:val="24"/>
          <w:szCs w:val="24"/>
          <w14:textFill>
            <w14:solidFill>
              <w14:schemeClr w14:val="tx1"/>
            </w14:solidFill>
          </w14:textFill>
        </w:rPr>
        <w:t>龙骨式铺装</w:t>
      </w:r>
    </w:p>
    <w:p>
      <w:pPr>
        <w:pStyle w:val="6"/>
        <w:numPr>
          <w:ilvl w:val="4"/>
          <w:numId w:val="4"/>
        </w:numPr>
        <w:tabs>
          <w:tab w:val="left" w:pos="1418"/>
        </w:tabs>
        <w:spacing w:line="340" w:lineRule="exact"/>
        <w:ind w:left="1276" w:hanging="567" w:firstLineChars="0"/>
        <w:rPr>
          <w:rFonts w:ascii="微软雅黑" w:hAnsi="微软雅黑" w:eastAsia="微软雅黑"/>
          <w:b/>
          <w:bCs/>
          <w:color w:val="000000" w:themeColor="text1"/>
          <w:sz w:val="24"/>
          <w:szCs w:val="24"/>
          <w14:textFill>
            <w14:solidFill>
              <w14:schemeClr w14:val="tx1"/>
            </w14:solidFill>
          </w14:textFill>
        </w:rPr>
      </w:pPr>
      <w:r>
        <w:rPr>
          <w:rFonts w:hint="eastAsia" w:ascii="微软雅黑" w:hAnsi="微软雅黑" w:eastAsia="微软雅黑"/>
          <w:b/>
          <w:bCs/>
          <w:color w:val="000000" w:themeColor="text1"/>
          <w:sz w:val="24"/>
          <w:szCs w:val="24"/>
          <w14:textFill>
            <w14:solidFill>
              <w14:schemeClr w14:val="tx1"/>
            </w14:solidFill>
          </w14:textFill>
        </w:rPr>
        <w:t xml:space="preserve">悬浮式铺装 </w:t>
      </w:r>
    </w:p>
    <w:p>
      <w:pPr>
        <w:pStyle w:val="6"/>
        <w:numPr>
          <w:ilvl w:val="4"/>
          <w:numId w:val="4"/>
        </w:numPr>
        <w:tabs>
          <w:tab w:val="left" w:pos="1418"/>
        </w:tabs>
        <w:spacing w:line="340" w:lineRule="exact"/>
        <w:ind w:left="1276" w:hanging="567" w:firstLineChars="0"/>
        <w:rPr>
          <w:rFonts w:ascii="微软雅黑" w:hAnsi="微软雅黑" w:eastAsia="微软雅黑"/>
          <w:b/>
          <w:bCs/>
          <w:color w:val="000000" w:themeColor="text1"/>
          <w:sz w:val="24"/>
          <w:szCs w:val="24"/>
          <w14:textFill>
            <w14:solidFill>
              <w14:schemeClr w14:val="tx1"/>
            </w14:solidFill>
          </w14:textFill>
        </w:rPr>
      </w:pPr>
      <w:r>
        <w:rPr>
          <w:rFonts w:hint="eastAsia" w:ascii="微软雅黑" w:hAnsi="微软雅黑" w:eastAsia="微软雅黑"/>
          <w:b/>
          <w:bCs/>
          <w:color w:val="000000" w:themeColor="text1"/>
          <w:sz w:val="24"/>
          <w:szCs w:val="24"/>
          <w14:textFill>
            <w14:solidFill>
              <w14:schemeClr w14:val="tx1"/>
            </w14:solidFill>
          </w14:textFill>
        </w:rPr>
        <w:t xml:space="preserve">胶粘法铺装   </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厨卫洁具管材的5种材质和技术关键要点</w:t>
      </w:r>
    </w:p>
    <w:p>
      <w:pPr>
        <w:pStyle w:val="6"/>
        <w:numPr>
          <w:ilvl w:val="3"/>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台盆安装关键要点</w:t>
      </w:r>
    </w:p>
    <w:p>
      <w:pPr>
        <w:pStyle w:val="6"/>
        <w:numPr>
          <w:ilvl w:val="3"/>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马桶安装关键要点</w:t>
      </w:r>
    </w:p>
    <w:p>
      <w:pPr>
        <w:pStyle w:val="6"/>
        <w:numPr>
          <w:ilvl w:val="3"/>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淋浴房施工要点</w:t>
      </w:r>
    </w:p>
    <w:p>
      <w:pPr>
        <w:pStyle w:val="6"/>
        <w:numPr>
          <w:ilvl w:val="3"/>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 xml:space="preserve">浴缸安装注意事项 </w:t>
      </w:r>
    </w:p>
    <w:p>
      <w:pPr>
        <w:pStyle w:val="6"/>
        <w:numPr>
          <w:ilvl w:val="3"/>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 xml:space="preserve">卫生间泛臭原因 </w:t>
      </w:r>
    </w:p>
    <w:p>
      <w:pPr>
        <w:pStyle w:val="6"/>
        <w:numPr>
          <w:ilvl w:val="3"/>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辐射供暖技术要点</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腻子技术关键要点</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油漆的材质性能和技术关键要点</w:t>
      </w:r>
    </w:p>
    <w:p>
      <w:pPr>
        <w:pStyle w:val="6"/>
        <w:numPr>
          <w:ilvl w:val="1"/>
          <w:numId w:val="4"/>
        </w:numPr>
        <w:tabs>
          <w:tab w:val="left" w:pos="1418"/>
        </w:tabs>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防水防霉:系统介绍批量精装修零渗漏技术关键要点（材料分析+图形分解+图片展示）</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结构防渗漏防霉</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建筑防渗漏防霉</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 xml:space="preserve">精装修防渗漏防霉 </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石膏板隔墙防霉</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 xml:space="preserve">木饰面防霉    </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 xml:space="preserve">石材返碱     </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 xml:space="preserve">镜面防雾 </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墙纸防霉</w:t>
      </w:r>
    </w:p>
    <w:p>
      <w:pPr>
        <w:pStyle w:val="6"/>
        <w:numPr>
          <w:ilvl w:val="0"/>
          <w:numId w:val="4"/>
        </w:numPr>
        <w:tabs>
          <w:tab w:val="left" w:pos="1418"/>
        </w:tabs>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批量精装修供方管理要求的重要性及必要性分析</w:t>
      </w:r>
    </w:p>
    <w:p>
      <w:pPr>
        <w:pStyle w:val="6"/>
        <w:numPr>
          <w:ilvl w:val="1"/>
          <w:numId w:val="4"/>
        </w:numPr>
        <w:tabs>
          <w:tab w:val="left" w:pos="1418"/>
        </w:tabs>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总分包合同相关要求</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对土建与精装修验收标准不一致的管理要求</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总分包关联施工、价格差异的约定</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质量标准不履约的管理要求</w:t>
      </w:r>
    </w:p>
    <w:p>
      <w:pPr>
        <w:pStyle w:val="6"/>
        <w:numPr>
          <w:ilvl w:val="1"/>
          <w:numId w:val="4"/>
        </w:numPr>
        <w:tabs>
          <w:tab w:val="left" w:pos="1418"/>
        </w:tabs>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精装修施工合同有关现场管理的管理要求</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履约保证金5%（质量3%，工期2%）</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分部分项质量问题的过程纠偏手段</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周计划、里程碑进度滞后无合同条款制约</w:t>
      </w:r>
    </w:p>
    <w:p>
      <w:pPr>
        <w:pStyle w:val="6"/>
        <w:numPr>
          <w:ilvl w:val="1"/>
          <w:numId w:val="4"/>
        </w:numPr>
        <w:tabs>
          <w:tab w:val="left" w:pos="1418"/>
        </w:tabs>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精装修合同中关于维修整改扣款的要求</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关于限期整改销项的要求</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第三方维修的管理要求</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关于扣款标准的管理要求</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什么时候可以罚款</w:t>
      </w:r>
    </w:p>
    <w:p>
      <w:pPr>
        <w:pStyle w:val="6"/>
        <w:numPr>
          <w:ilvl w:val="0"/>
          <w:numId w:val="4"/>
        </w:numPr>
        <w:tabs>
          <w:tab w:val="left" w:pos="1418"/>
        </w:tabs>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批量精装修工序管理的关键要点和对策</w:t>
      </w:r>
    </w:p>
    <w:p>
      <w:pPr>
        <w:pStyle w:val="6"/>
        <w:numPr>
          <w:ilvl w:val="1"/>
          <w:numId w:val="4"/>
        </w:numPr>
        <w:tabs>
          <w:tab w:val="left" w:pos="1418"/>
        </w:tabs>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机电施工工序：</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先顶棚，再墙面，后地面</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 xml:space="preserve">先外墙面，后内墙面 </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先大管，后小管</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先风管，再水管，后电管</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 xml:space="preserve">先有压管，再无压管 </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 xml:space="preserve">先顶棚辐射，再墙面地热，浇地坪 </w:t>
      </w:r>
    </w:p>
    <w:p>
      <w:pPr>
        <w:pStyle w:val="6"/>
        <w:numPr>
          <w:ilvl w:val="1"/>
          <w:numId w:val="4"/>
        </w:numPr>
        <w:tabs>
          <w:tab w:val="left" w:pos="1418"/>
        </w:tabs>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 xml:space="preserve">精装修施工工序： </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先顶棚，再墙面，后地面</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先完成顶棚吊点，再结构闭水修补，后楼层防水涂刷</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先点油，再开灯孔，后批顶</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先湿作业，再干作业</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先石材瓷砖，再木饰面，后金属件安装</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 xml:space="preserve">先墙面腻子涂料壁纸，再地板，后门套、踢脚安装 </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先厨壁柜，再内门五金，后地板</w:t>
      </w:r>
    </w:p>
    <w:p>
      <w:pPr>
        <w:pStyle w:val="6"/>
        <w:numPr>
          <w:ilvl w:val="2"/>
          <w:numId w:val="4"/>
        </w:numPr>
        <w:tabs>
          <w:tab w:val="left" w:pos="1418"/>
        </w:tabs>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 xml:space="preserve">入户门装临时执手锁芯 </w:t>
      </w:r>
    </w:p>
    <w:p>
      <w:pPr>
        <w:pStyle w:val="6"/>
        <w:numPr>
          <w:ilvl w:val="0"/>
          <w:numId w:val="4"/>
        </w:numPr>
        <w:tabs>
          <w:tab w:val="left" w:pos="1418"/>
        </w:tabs>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批量精装修施工组织设计和方案审核重要性和必要性分析</w:t>
      </w:r>
    </w:p>
    <w:p>
      <w:pPr>
        <w:pStyle w:val="6"/>
        <w:numPr>
          <w:ilvl w:val="0"/>
          <w:numId w:val="4"/>
        </w:numPr>
        <w:tabs>
          <w:tab w:val="left" w:pos="1418"/>
        </w:tabs>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批量精装修四图管理重要性和必要性分析</w:t>
      </w:r>
    </w:p>
    <w:p>
      <w:pPr>
        <w:spacing w:line="480" w:lineRule="exact"/>
        <w:rPr>
          <w:rFonts w:ascii="微软雅黑" w:hAnsi="微软雅黑" w:eastAsia="微软雅黑" w:cs="微软雅黑"/>
          <w:b/>
          <w:bCs/>
          <w:sz w:val="24"/>
          <w:szCs w:val="24"/>
        </w:rPr>
      </w:pPr>
      <w:r>
        <w:rPr>
          <w:rFonts w:hint="eastAsia" w:ascii="微软雅黑" w:hAnsi="微软雅黑" w:eastAsia="微软雅黑" w:cs="微软雅黑"/>
          <w:b/>
          <w:bCs/>
          <w:color w:val="FF0000"/>
          <w:sz w:val="24"/>
          <w:szCs w:val="24"/>
        </w:rPr>
        <w:t>第四部分：批量精装修工程质量管理关键要点及案例</w:t>
      </w:r>
    </w:p>
    <w:p>
      <w:pPr>
        <w:pStyle w:val="6"/>
        <w:numPr>
          <w:ilvl w:val="0"/>
          <w:numId w:val="5"/>
        </w:numPr>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批量精装修材料与设备部品选样、封样重要性和必要性分析</w:t>
      </w:r>
    </w:p>
    <w:p>
      <w:pPr>
        <w:pStyle w:val="6"/>
        <w:numPr>
          <w:ilvl w:val="0"/>
          <w:numId w:val="5"/>
        </w:numPr>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批量精装修三个标准样板间的组成剖析</w:t>
      </w:r>
    </w:p>
    <w:p>
      <w:pPr>
        <w:pStyle w:val="6"/>
        <w:numPr>
          <w:ilvl w:val="1"/>
          <w:numId w:val="5"/>
        </w:numPr>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批量精装修施工前的样板间七大风险管理控制点</w:t>
      </w:r>
    </w:p>
    <w:p>
      <w:pPr>
        <w:pStyle w:val="6"/>
        <w:numPr>
          <w:ilvl w:val="2"/>
          <w:numId w:val="5"/>
        </w:numPr>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控制点一：工程与销售合同的一致性</w:t>
      </w:r>
    </w:p>
    <w:p>
      <w:pPr>
        <w:pStyle w:val="6"/>
        <w:numPr>
          <w:ilvl w:val="2"/>
          <w:numId w:val="5"/>
        </w:numPr>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控制点二：工程与交付样板房的一致性</w:t>
      </w:r>
    </w:p>
    <w:p>
      <w:pPr>
        <w:pStyle w:val="6"/>
        <w:numPr>
          <w:ilvl w:val="0"/>
          <w:numId w:val="5"/>
        </w:numPr>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批量精装修现场管理的逻辑关系及管理对策</w:t>
      </w:r>
    </w:p>
    <w:p>
      <w:pPr>
        <w:pStyle w:val="6"/>
        <w:numPr>
          <w:ilvl w:val="1"/>
          <w:numId w:val="5"/>
        </w:numPr>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现场放线四原则及如何解决</w:t>
      </w:r>
    </w:p>
    <w:p>
      <w:pPr>
        <w:pStyle w:val="6"/>
        <w:numPr>
          <w:ilvl w:val="2"/>
          <w:numId w:val="5"/>
        </w:numPr>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轴线平水线引入</w:t>
      </w:r>
    </w:p>
    <w:p>
      <w:pPr>
        <w:pStyle w:val="6"/>
        <w:numPr>
          <w:ilvl w:val="2"/>
          <w:numId w:val="5"/>
        </w:numPr>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天、地、墙完整</w:t>
      </w:r>
    </w:p>
    <w:p>
      <w:pPr>
        <w:pStyle w:val="6"/>
        <w:numPr>
          <w:ilvl w:val="2"/>
          <w:numId w:val="5"/>
        </w:numPr>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立面图上墙</w:t>
      </w:r>
    </w:p>
    <w:p>
      <w:pPr>
        <w:pStyle w:val="6"/>
        <w:numPr>
          <w:ilvl w:val="2"/>
          <w:numId w:val="5"/>
        </w:numPr>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排版定位</w:t>
      </w:r>
    </w:p>
    <w:p>
      <w:pPr>
        <w:pStyle w:val="6"/>
        <w:numPr>
          <w:ilvl w:val="0"/>
          <w:numId w:val="5"/>
        </w:numPr>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批量精装修过程检查要点及管理对策</w:t>
      </w:r>
    </w:p>
    <w:p>
      <w:pPr>
        <w:pStyle w:val="6"/>
        <w:numPr>
          <w:ilvl w:val="1"/>
          <w:numId w:val="5"/>
        </w:numPr>
        <w:spacing w:line="340" w:lineRule="exact"/>
        <w:ind w:left="1276" w:firstLineChars="0"/>
        <w:rPr>
          <w:rFonts w:ascii="微软雅黑" w:hAnsi="微软雅黑" w:eastAsia="微软雅黑"/>
          <w:b/>
          <w:bCs/>
          <w:sz w:val="24"/>
          <w:szCs w:val="24"/>
        </w:rPr>
      </w:pPr>
      <w:r>
        <w:rPr>
          <w:rFonts w:hint="eastAsia" w:ascii="微软雅黑" w:hAnsi="微软雅黑" w:eastAsia="微软雅黑"/>
          <w:b/>
          <w:bCs/>
          <w:sz w:val="24"/>
          <w:szCs w:val="24"/>
        </w:rPr>
        <w:t>批量精装修施工中的风险管理封闭工地</w:t>
      </w:r>
    </w:p>
    <w:p>
      <w:pPr>
        <w:pStyle w:val="6"/>
        <w:numPr>
          <w:ilvl w:val="0"/>
          <w:numId w:val="5"/>
        </w:numPr>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批量精装交付质量管理的四大环节及标准</w:t>
      </w:r>
    </w:p>
    <w:p>
      <w:pPr>
        <w:pStyle w:val="6"/>
        <w:numPr>
          <w:ilvl w:val="2"/>
          <w:numId w:val="5"/>
        </w:numPr>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批量精装修的一房一验组织</w:t>
      </w:r>
    </w:p>
    <w:p>
      <w:pPr>
        <w:pStyle w:val="6"/>
        <w:numPr>
          <w:ilvl w:val="2"/>
          <w:numId w:val="5"/>
        </w:numPr>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批量精装修一房一验的现场条件</w:t>
      </w:r>
    </w:p>
    <w:p>
      <w:pPr>
        <w:pStyle w:val="6"/>
        <w:numPr>
          <w:ilvl w:val="2"/>
          <w:numId w:val="5"/>
        </w:numPr>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批量精装修一房一验的组织管理</w:t>
      </w:r>
    </w:p>
    <w:p>
      <w:pPr>
        <w:pStyle w:val="6"/>
        <w:numPr>
          <w:ilvl w:val="2"/>
          <w:numId w:val="5"/>
        </w:numPr>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批量精装修一房一验的内容</w:t>
      </w:r>
    </w:p>
    <w:p>
      <w:pPr>
        <w:pStyle w:val="6"/>
        <w:numPr>
          <w:ilvl w:val="2"/>
          <w:numId w:val="5"/>
        </w:numPr>
        <w:spacing w:line="340" w:lineRule="exact"/>
        <w:ind w:left="1276" w:hanging="567" w:firstLineChars="0"/>
        <w:rPr>
          <w:rFonts w:ascii="微软雅黑" w:hAnsi="微软雅黑" w:eastAsia="微软雅黑"/>
          <w:b/>
          <w:bCs/>
          <w:sz w:val="24"/>
          <w:szCs w:val="24"/>
        </w:rPr>
      </w:pPr>
      <w:r>
        <w:rPr>
          <w:rFonts w:hint="eastAsia" w:ascii="微软雅黑" w:hAnsi="微软雅黑" w:eastAsia="微软雅黑"/>
          <w:b/>
          <w:bCs/>
          <w:sz w:val="24"/>
          <w:szCs w:val="24"/>
        </w:rPr>
        <w:t>批量精装修一房一验的纠偏</w:t>
      </w:r>
    </w:p>
    <w:p>
      <w:pPr>
        <w:spacing w:line="480" w:lineRule="exact"/>
        <w:rPr>
          <w:rFonts w:ascii="微软雅黑" w:hAnsi="微软雅黑" w:eastAsia="微软雅黑" w:cs="微软雅黑"/>
          <w:b/>
          <w:bCs/>
          <w:color w:val="800000"/>
          <w:sz w:val="24"/>
          <w:szCs w:val="24"/>
        </w:rPr>
      </w:pPr>
      <w:r>
        <w:rPr>
          <w:rFonts w:hint="eastAsia" w:ascii="微软雅黑" w:hAnsi="微软雅黑" w:eastAsia="微软雅黑" w:cs="微软雅黑"/>
          <w:b/>
          <w:bCs/>
          <w:color w:val="FF0000"/>
          <w:sz w:val="24"/>
          <w:szCs w:val="24"/>
        </w:rPr>
        <w:t>第五部分：批量精装修工程进度管理关键要点及案例</w:t>
      </w:r>
    </w:p>
    <w:p>
      <w:pPr>
        <w:pStyle w:val="6"/>
        <w:numPr>
          <w:ilvl w:val="0"/>
          <w:numId w:val="6"/>
        </w:numPr>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工程周期对总成本的影响</w:t>
      </w:r>
    </w:p>
    <w:p>
      <w:pPr>
        <w:pStyle w:val="6"/>
        <w:numPr>
          <w:ilvl w:val="0"/>
          <w:numId w:val="6"/>
        </w:numPr>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时间与收益的逻辑关系及管理对策</w:t>
      </w:r>
    </w:p>
    <w:p>
      <w:pPr>
        <w:pStyle w:val="6"/>
        <w:numPr>
          <w:ilvl w:val="0"/>
          <w:numId w:val="6"/>
        </w:numPr>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批量精装房标准工期</w:t>
      </w:r>
    </w:p>
    <w:p>
      <w:pPr>
        <w:pStyle w:val="6"/>
        <w:numPr>
          <w:ilvl w:val="0"/>
          <w:numId w:val="6"/>
        </w:numPr>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批量精装穿插施工如何缩短标准工程周期</w:t>
      </w:r>
    </w:p>
    <w:p>
      <w:pPr>
        <w:numPr>
          <w:ilvl w:val="1"/>
          <w:numId w:val="6"/>
        </w:numPr>
        <w:spacing w:line="480" w:lineRule="exact"/>
        <w:ind w:left="1276"/>
        <w:rPr>
          <w:rFonts w:ascii="微软雅黑" w:hAnsi="微软雅黑" w:eastAsia="微软雅黑" w:cs="微软雅黑"/>
          <w:b/>
          <w:bCs/>
          <w:color w:val="000000"/>
          <w:sz w:val="24"/>
          <w:szCs w:val="24"/>
        </w:rPr>
      </w:pPr>
      <w:r>
        <w:rPr>
          <w:rFonts w:hint="eastAsia" w:ascii="微软雅黑" w:hAnsi="微软雅黑" w:eastAsia="微软雅黑" w:cs="微软雅黑"/>
          <w:b/>
          <w:bCs/>
          <w:color w:val="000000"/>
          <w:sz w:val="24"/>
          <w:szCs w:val="24"/>
        </w:rPr>
        <w:t>标杆企业合理工期</w:t>
      </w:r>
    </w:p>
    <w:p>
      <w:pPr>
        <w:numPr>
          <w:ilvl w:val="1"/>
          <w:numId w:val="6"/>
        </w:numPr>
        <w:spacing w:line="480" w:lineRule="exact"/>
        <w:ind w:left="1276"/>
        <w:rPr>
          <w:rFonts w:ascii="微软雅黑" w:hAnsi="微软雅黑" w:eastAsia="微软雅黑" w:cs="微软雅黑"/>
          <w:b/>
          <w:bCs/>
          <w:color w:val="000000"/>
          <w:sz w:val="24"/>
          <w:szCs w:val="24"/>
        </w:rPr>
      </w:pPr>
      <w:r>
        <w:rPr>
          <w:rFonts w:hint="eastAsia" w:ascii="微软雅黑" w:hAnsi="微软雅黑" w:eastAsia="微软雅黑" w:cs="微软雅黑"/>
          <w:b/>
          <w:bCs/>
          <w:color w:val="000000"/>
          <w:sz w:val="24"/>
          <w:szCs w:val="24"/>
        </w:rPr>
        <w:t>最短工期能多短？</w:t>
      </w:r>
    </w:p>
    <w:p>
      <w:pPr>
        <w:numPr>
          <w:ilvl w:val="1"/>
          <w:numId w:val="6"/>
        </w:numPr>
        <w:spacing w:line="480" w:lineRule="exact"/>
        <w:ind w:left="1276"/>
        <w:rPr>
          <w:rFonts w:ascii="微软雅黑" w:hAnsi="微软雅黑" w:eastAsia="微软雅黑" w:cs="微软雅黑"/>
          <w:b/>
          <w:bCs/>
          <w:color w:val="000000"/>
          <w:sz w:val="24"/>
          <w:szCs w:val="24"/>
        </w:rPr>
      </w:pPr>
      <w:r>
        <w:rPr>
          <w:rFonts w:hint="eastAsia" w:ascii="微软雅黑" w:hAnsi="微软雅黑" w:eastAsia="微软雅黑" w:cs="微软雅黑"/>
          <w:b/>
          <w:bCs/>
          <w:color w:val="000000"/>
          <w:sz w:val="24"/>
          <w:szCs w:val="24"/>
        </w:rPr>
        <w:t>精装抢工措施有哪些？</w:t>
      </w:r>
    </w:p>
    <w:p>
      <w:pPr>
        <w:numPr>
          <w:ilvl w:val="1"/>
          <w:numId w:val="6"/>
        </w:numPr>
        <w:spacing w:line="480" w:lineRule="exact"/>
        <w:ind w:left="1276"/>
        <w:rPr>
          <w:rFonts w:ascii="微软雅黑" w:hAnsi="微软雅黑" w:eastAsia="微软雅黑" w:cs="微软雅黑"/>
          <w:b/>
          <w:bCs/>
          <w:color w:val="000000"/>
          <w:sz w:val="24"/>
          <w:szCs w:val="24"/>
        </w:rPr>
      </w:pPr>
      <w:r>
        <w:rPr>
          <w:rFonts w:hint="eastAsia" w:ascii="微软雅黑" w:hAnsi="微软雅黑" w:eastAsia="微软雅黑" w:cs="微软雅黑"/>
          <w:b/>
          <w:bCs/>
          <w:color w:val="000000"/>
          <w:sz w:val="24"/>
          <w:szCs w:val="24"/>
        </w:rPr>
        <w:t>内墙穿插流水施工</w:t>
      </w:r>
    </w:p>
    <w:p>
      <w:pPr>
        <w:numPr>
          <w:ilvl w:val="1"/>
          <w:numId w:val="6"/>
        </w:numPr>
        <w:spacing w:line="480" w:lineRule="exact"/>
        <w:ind w:left="1276"/>
        <w:rPr>
          <w:rFonts w:ascii="微软雅黑" w:hAnsi="微软雅黑" w:eastAsia="微软雅黑" w:cs="微软雅黑"/>
          <w:b/>
          <w:bCs/>
          <w:color w:val="000000"/>
          <w:sz w:val="24"/>
          <w:szCs w:val="24"/>
        </w:rPr>
      </w:pPr>
      <w:r>
        <w:rPr>
          <w:rFonts w:hint="eastAsia" w:ascii="微软雅黑" w:hAnsi="微软雅黑" w:eastAsia="微软雅黑" w:cs="微软雅黑"/>
          <w:b/>
          <w:bCs/>
          <w:color w:val="000000"/>
          <w:sz w:val="24"/>
          <w:szCs w:val="24"/>
        </w:rPr>
        <w:t>批量精装穿插流水如何落地</w:t>
      </w:r>
    </w:p>
    <w:p>
      <w:pPr>
        <w:numPr>
          <w:ilvl w:val="1"/>
          <w:numId w:val="6"/>
        </w:numPr>
        <w:spacing w:line="480" w:lineRule="exact"/>
        <w:ind w:left="1276"/>
        <w:rPr>
          <w:rFonts w:ascii="微软雅黑" w:hAnsi="微软雅黑" w:eastAsia="微软雅黑" w:cs="微软雅黑"/>
          <w:b/>
          <w:bCs/>
          <w:color w:val="000000"/>
          <w:sz w:val="24"/>
          <w:szCs w:val="24"/>
        </w:rPr>
      </w:pPr>
      <w:r>
        <w:rPr>
          <w:rFonts w:hint="eastAsia" w:ascii="微软雅黑" w:hAnsi="微软雅黑" w:eastAsia="微软雅黑" w:cs="微软雅黑"/>
          <w:b/>
          <w:bCs/>
          <w:color w:val="000000"/>
          <w:sz w:val="24"/>
          <w:szCs w:val="24"/>
        </w:rPr>
        <w:t>批量精装穿插流水标杆工期</w:t>
      </w:r>
    </w:p>
    <w:p>
      <w:pPr>
        <w:numPr>
          <w:ilvl w:val="1"/>
          <w:numId w:val="6"/>
        </w:numPr>
        <w:spacing w:line="480" w:lineRule="exact"/>
        <w:ind w:left="1276"/>
        <w:rPr>
          <w:rFonts w:ascii="微软雅黑" w:hAnsi="微软雅黑" w:eastAsia="微软雅黑" w:cs="微软雅黑"/>
          <w:b/>
          <w:bCs/>
          <w:color w:val="000000"/>
          <w:sz w:val="24"/>
          <w:szCs w:val="24"/>
        </w:rPr>
      </w:pPr>
      <w:r>
        <w:rPr>
          <w:rFonts w:hint="eastAsia" w:ascii="微软雅黑" w:hAnsi="微软雅黑" w:eastAsia="微软雅黑" w:cs="微软雅黑"/>
          <w:b/>
          <w:bCs/>
          <w:color w:val="000000"/>
          <w:sz w:val="24"/>
          <w:szCs w:val="24"/>
        </w:rPr>
        <w:t>批量精装穿插流水工期模型</w:t>
      </w:r>
    </w:p>
    <w:p>
      <w:pPr>
        <w:pStyle w:val="6"/>
        <w:numPr>
          <w:ilvl w:val="0"/>
          <w:numId w:val="6"/>
        </w:numPr>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穿插施工所必须掌握的技术要点</w:t>
      </w:r>
    </w:p>
    <w:p>
      <w:pPr>
        <w:numPr>
          <w:ilvl w:val="1"/>
          <w:numId w:val="6"/>
        </w:numPr>
        <w:spacing w:line="480" w:lineRule="exact"/>
        <w:ind w:left="1276"/>
        <w:rPr>
          <w:rFonts w:ascii="微软雅黑" w:hAnsi="微软雅黑" w:eastAsia="微软雅黑" w:cs="微软雅黑"/>
          <w:b/>
          <w:bCs/>
          <w:color w:val="000000"/>
          <w:sz w:val="24"/>
          <w:szCs w:val="24"/>
        </w:rPr>
      </w:pPr>
      <w:r>
        <w:rPr>
          <w:rFonts w:hint="eastAsia" w:ascii="微软雅黑" w:hAnsi="微软雅黑" w:eastAsia="微软雅黑" w:cs="微软雅黑"/>
          <w:b/>
          <w:bCs/>
          <w:color w:val="000000"/>
          <w:sz w:val="24"/>
          <w:szCs w:val="24"/>
        </w:rPr>
        <w:t>初装修阶段缩短关键线路</w:t>
      </w:r>
    </w:p>
    <w:p>
      <w:pPr>
        <w:numPr>
          <w:ilvl w:val="1"/>
          <w:numId w:val="6"/>
        </w:numPr>
        <w:spacing w:line="480" w:lineRule="exact"/>
        <w:ind w:left="1276"/>
        <w:rPr>
          <w:rFonts w:ascii="微软雅黑" w:hAnsi="微软雅黑" w:eastAsia="微软雅黑" w:cs="微软雅黑"/>
          <w:b/>
          <w:bCs/>
          <w:color w:val="000000"/>
          <w:sz w:val="24"/>
          <w:szCs w:val="24"/>
        </w:rPr>
      </w:pPr>
      <w:r>
        <w:rPr>
          <w:rFonts w:hint="eastAsia" w:ascii="微软雅黑" w:hAnsi="微软雅黑" w:eastAsia="微软雅黑" w:cs="微软雅黑"/>
          <w:b/>
          <w:bCs/>
          <w:color w:val="000000"/>
          <w:sz w:val="24"/>
          <w:szCs w:val="24"/>
        </w:rPr>
        <w:t>精装修阶段缩短关键线路</w:t>
      </w:r>
    </w:p>
    <w:p>
      <w:pPr>
        <w:pStyle w:val="6"/>
        <w:numPr>
          <w:ilvl w:val="0"/>
          <w:numId w:val="6"/>
        </w:numPr>
        <w:spacing w:line="480" w:lineRule="exact"/>
        <w:ind w:left="1276" w:hanging="567" w:firstLineChars="0"/>
        <w:rPr>
          <w:rFonts w:ascii="微软雅黑" w:hAnsi="微软雅黑" w:eastAsia="微软雅黑" w:cs="微软雅黑"/>
          <w:b/>
          <w:bCs/>
          <w:color w:val="800000"/>
          <w:sz w:val="24"/>
          <w:szCs w:val="24"/>
        </w:rPr>
      </w:pPr>
      <w:r>
        <w:rPr>
          <w:rFonts w:hint="eastAsia" w:ascii="微软雅黑" w:hAnsi="微软雅黑" w:eastAsia="微软雅黑" w:cs="微软雅黑"/>
          <w:b/>
          <w:bCs/>
          <w:color w:val="800000"/>
          <w:sz w:val="24"/>
          <w:szCs w:val="24"/>
        </w:rPr>
        <w:t>如何应对外部条件变化工程周期不能顺延</w:t>
      </w:r>
    </w:p>
    <w:p>
      <w:pPr>
        <w:numPr>
          <w:ilvl w:val="1"/>
          <w:numId w:val="6"/>
        </w:numPr>
        <w:spacing w:line="480" w:lineRule="exact"/>
        <w:ind w:left="1276"/>
        <w:rPr>
          <w:rFonts w:ascii="微软雅黑" w:hAnsi="微软雅黑" w:eastAsia="微软雅黑" w:cs="微软雅黑"/>
          <w:b/>
          <w:bCs/>
          <w:color w:val="000000"/>
          <w:sz w:val="24"/>
          <w:szCs w:val="24"/>
        </w:rPr>
      </w:pPr>
      <w:r>
        <w:rPr>
          <w:rFonts w:hint="eastAsia" w:ascii="微软雅黑" w:hAnsi="微软雅黑" w:eastAsia="微软雅黑" w:cs="微软雅黑"/>
          <w:b/>
          <w:bCs/>
          <w:color w:val="000000"/>
          <w:sz w:val="24"/>
          <w:szCs w:val="24"/>
        </w:rPr>
        <w:t>初装修工程穿插对策</w:t>
      </w:r>
    </w:p>
    <w:p>
      <w:pPr>
        <w:numPr>
          <w:ilvl w:val="1"/>
          <w:numId w:val="6"/>
        </w:numPr>
        <w:spacing w:line="480" w:lineRule="exact"/>
        <w:ind w:left="1276"/>
        <w:rPr>
          <w:rFonts w:ascii="微软雅黑" w:hAnsi="微软雅黑" w:eastAsia="微软雅黑" w:cs="微软雅黑"/>
          <w:b/>
          <w:bCs/>
          <w:color w:val="000000"/>
          <w:sz w:val="24"/>
          <w:szCs w:val="24"/>
        </w:rPr>
      </w:pPr>
      <w:r>
        <w:rPr>
          <w:rFonts w:hint="eastAsia" w:ascii="微软雅黑" w:hAnsi="微软雅黑" w:eastAsia="微软雅黑" w:cs="微软雅黑"/>
          <w:b/>
          <w:bCs/>
          <w:color w:val="000000"/>
          <w:sz w:val="24"/>
          <w:szCs w:val="24"/>
        </w:rPr>
        <w:t>精装修工程穿插对策</w:t>
      </w:r>
    </w:p>
    <w:p/>
    <w:p/>
    <w:p/>
    <w:p/>
    <w:p/>
    <w:p/>
    <w:p/>
    <w:p/>
    <w:p/>
    <w:p/>
    <w:p>
      <w:pPr>
        <w:adjustRightInd w:val="0"/>
        <w:snapToGrid w:val="0"/>
        <w:spacing w:line="288" w:lineRule="auto"/>
        <w:jc w:val="center"/>
        <w:rPr>
          <w:rFonts w:ascii="微软雅黑" w:hAnsi="微软雅黑" w:eastAsia="微软雅黑" w:cs="宋体"/>
          <w:b/>
          <w:color w:val="404040"/>
          <w:spacing w:val="10"/>
          <w:szCs w:val="21"/>
        </w:rPr>
      </w:pPr>
      <w:bookmarkStart w:id="1" w:name="_Hlk106713002"/>
      <w:r>
        <w:rPr>
          <w:rFonts w:ascii="微软雅黑" w:hAnsi="微软雅黑" w:eastAsia="微软雅黑" w:cs="宋体"/>
          <w:b/>
          <w:color w:val="404040"/>
          <w:spacing w:val="10"/>
          <w:szCs w:val="21"/>
        </w:rPr>
        <w:drawing>
          <wp:inline distT="0" distB="0" distL="0" distR="0">
            <wp:extent cx="5274310" cy="335280"/>
            <wp:effectExtent l="0" t="0" r="254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74310" cy="33528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rPr>
        <w:drawing>
          <wp:inline distT="0" distB="0" distL="0" distR="0">
            <wp:extent cx="5274310" cy="354965"/>
            <wp:effectExtent l="0" t="0" r="2540" b="6985"/>
            <wp:docPr id="7" name="图片 7"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职业背景"/>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274310" cy="354965"/>
                    </a:xfrm>
                    <a:prstGeom prst="rect">
                      <a:avLst/>
                    </a:prstGeom>
                    <a:noFill/>
                    <a:ln>
                      <a:noFill/>
                    </a:ln>
                  </pic:spPr>
                </pic:pic>
              </a:graphicData>
            </a:graphic>
          </wp:inline>
        </w:drawing>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9"/>
        <w:widowControl/>
        <w:numPr>
          <w:ilvl w:val="0"/>
          <w:numId w:val="7"/>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rPr>
        <w:drawing>
          <wp:inline distT="0" distB="0" distL="0" distR="0">
            <wp:extent cx="5274310" cy="353695"/>
            <wp:effectExtent l="0" t="0" r="254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4310" cy="353695"/>
                    </a:xfrm>
                    <a:prstGeom prst="rect">
                      <a:avLst/>
                    </a:prstGeom>
                    <a:noFill/>
                    <a:ln>
                      <a:noFill/>
                    </a:ln>
                  </pic:spPr>
                </pic:pic>
              </a:graphicData>
            </a:graphic>
          </wp:inline>
        </w:drawing>
      </w:r>
    </w:p>
    <w:p>
      <w:pPr>
        <w:pStyle w:val="9"/>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9"/>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rPr>
      </w:pPr>
      <w:r>
        <w:rPr>
          <w:rFonts w:ascii="微软雅黑" w:hAnsi="微软雅黑" w:eastAsia="微软雅黑" w:cs="宋体"/>
          <w:color w:val="000000"/>
          <w:spacing w:val="10"/>
          <w:szCs w:val="21"/>
        </w:rPr>
        <w:drawing>
          <wp:inline distT="0" distB="0" distL="0" distR="0">
            <wp:extent cx="5274310" cy="353695"/>
            <wp:effectExtent l="0" t="0" r="254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274310" cy="353695"/>
                    </a:xfrm>
                    <a:prstGeom prst="rect">
                      <a:avLst/>
                    </a:prstGeom>
                    <a:noFill/>
                    <a:ln>
                      <a:noFill/>
                    </a:ln>
                  </pic:spPr>
                </pic:pic>
              </a:graphicData>
            </a:graphic>
          </wp:inline>
        </w:drawing>
      </w:r>
    </w:p>
    <w:bookmarkEnd w:id="1"/>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9"/>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9"/>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9"/>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2381"/>
      <w:r>
        <w:rPr>
          <w:rFonts w:hint="eastAsia" w:ascii="微软雅黑" w:hAnsi="微软雅黑" w:eastAsia="微软雅黑" w:cs="微软雅黑"/>
          <w:color w:val="404040"/>
          <w:szCs w:val="21"/>
        </w:rPr>
        <w:t>工程精益管理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3" w:name="_Hlk118432986"/>
      <w:r>
        <w:rPr>
          <w:rFonts w:hint="eastAsia" w:ascii="微软雅黑" w:hAnsi="微软雅黑" w:eastAsia="微软雅黑" w:cs="微软雅黑"/>
          <w:color w:val="404040"/>
          <w:szCs w:val="21"/>
        </w:rPr>
        <w:t>项目总角色定位与项目管理能力</w:t>
      </w:r>
      <w:bookmarkEnd w:id="3"/>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9"/>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9"/>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ascii="微软雅黑" w:hAnsi="微软雅黑" w:eastAsia="微软雅黑" w:cs="微软雅黑"/>
          <w:b/>
          <w:color w:val="404040"/>
          <w:szCs w:val="21"/>
          <w:u w:val="single"/>
        </w:rPr>
      </w:pP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1"/>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1"/>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1"/>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2"/>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1"/>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1"/>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1"/>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1"/>
        </w:numPr>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2"/>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3"/>
        </w:numPr>
        <w:spacing w:line="360" w:lineRule="auto"/>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《标杆房企工程管理之批量精装修管理要点和实战案例》</w:t>
      </w:r>
      <w:r>
        <w:rPr>
          <w:rFonts w:hint="eastAsia" w:ascii="微软雅黑" w:hAnsi="微软雅黑" w:eastAsia="微软雅黑" w:cs="微软雅黑"/>
          <w:b/>
          <w:color w:val="404040"/>
          <w:szCs w:val="21"/>
          <w:highlight w:val="yellow"/>
        </w:rPr>
        <w:t>（多家地产精装修管理提升课程）</w:t>
      </w:r>
    </w:p>
    <w:p>
      <w:pPr>
        <w:numPr>
          <w:ilvl w:val="0"/>
          <w:numId w:val="12"/>
        </w:numPr>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全联房地产商会全装修产业分会首席专家，组织评选科技部精瑞奖评委；</w:t>
      </w:r>
    </w:p>
    <w:p>
      <w:pPr>
        <w:numPr>
          <w:ilvl w:val="0"/>
          <w:numId w:val="13"/>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2"/>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1"/>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1"/>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4" w:name="_Hlk118436183"/>
      <w:r>
        <w:rPr>
          <w:rFonts w:hint="eastAsia" w:ascii="微软雅黑" w:hAnsi="微软雅黑" w:eastAsia="微软雅黑" w:cs="微软雅黑"/>
          <w:color w:val="404040"/>
          <w:szCs w:val="21"/>
        </w:rPr>
        <w:t>安全管理</w:t>
      </w:r>
      <w:bookmarkEnd w:id="4"/>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ascii="微软雅黑" w:hAnsi="微软雅黑" w:eastAsia="微软雅黑" w:cs="微软雅黑"/>
          <w:b/>
          <w:color w:val="404040"/>
          <w:szCs w:val="21"/>
          <w:u w:val="single"/>
        </w:rPr>
      </w:pPr>
      <w:bookmarkStart w:id="5"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5"/>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7736"/>
      <w:r>
        <w:rPr>
          <w:rFonts w:hint="eastAsia" w:ascii="微软雅黑" w:hAnsi="微软雅黑" w:eastAsia="微软雅黑" w:cs="微软雅黑"/>
          <w:color w:val="404040"/>
          <w:szCs w:val="21"/>
        </w:rPr>
        <w:t>保交付</w:t>
      </w:r>
      <w:bookmarkEnd w:id="6"/>
      <w:r>
        <w:rPr>
          <w:rFonts w:hint="eastAsia" w:ascii="微软雅黑" w:hAnsi="微软雅黑" w:eastAsia="微软雅黑" w:cs="微软雅黑"/>
          <w:color w:val="404040"/>
          <w:szCs w:val="21"/>
        </w:rPr>
        <w:t>保质量下的工</w:t>
      </w:r>
      <w:bookmarkStart w:id="7" w:name="_Hlk118437723"/>
      <w:r>
        <w:rPr>
          <w:rFonts w:hint="eastAsia" w:ascii="微软雅黑" w:hAnsi="微软雅黑" w:eastAsia="微软雅黑" w:cs="微软雅黑"/>
          <w:color w:val="404040"/>
          <w:szCs w:val="21"/>
        </w:rPr>
        <w:t>程穿插提效快速施工</w:t>
      </w:r>
      <w:bookmarkEnd w:id="7"/>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8" w:name="_Hlk118438008"/>
      <w:r>
        <w:rPr>
          <w:rFonts w:hint="eastAsia" w:ascii="微软雅黑" w:hAnsi="微软雅黑" w:eastAsia="微软雅黑" w:cs="微软雅黑"/>
          <w:color w:val="404040"/>
          <w:szCs w:val="21"/>
        </w:rPr>
        <w:t>地基基础施工工艺</w:t>
      </w:r>
      <w:bookmarkEnd w:id="8"/>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4"/>
        </w:numPr>
        <w:adjustRightInd w:val="0"/>
        <w:snapToGrid w:val="0"/>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9" w:name="_Hlk118438098"/>
      <w:r>
        <w:rPr>
          <w:rFonts w:hint="eastAsia" w:ascii="微软雅黑" w:hAnsi="微软雅黑" w:eastAsia="微软雅黑" w:cs="微软雅黑"/>
          <w:color w:val="404040"/>
          <w:szCs w:val="21"/>
        </w:rPr>
        <w:t>装饰装修施工工艺</w:t>
      </w:r>
      <w:bookmarkEnd w:id="9"/>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10" w:name="_Hlk118438294"/>
      <w:r>
        <w:rPr>
          <w:rFonts w:hint="eastAsia" w:ascii="微软雅黑" w:hAnsi="微软雅黑" w:eastAsia="微软雅黑" w:cs="微软雅黑"/>
          <w:color w:val="404040"/>
          <w:szCs w:val="21"/>
        </w:rPr>
        <w:t>总承包</w:t>
      </w:r>
      <w:bookmarkEnd w:id="10"/>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pgSz w:w="16838" w:h="23811"/>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A207F05"/>
    <w:multiLevelType w:val="multilevel"/>
    <w:tmpl w:val="1A207F05"/>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38CC1C08"/>
    <w:multiLevelType w:val="multilevel"/>
    <w:tmpl w:val="38CC1C08"/>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
    <w:nsid w:val="4A0612EB"/>
    <w:multiLevelType w:val="multilevel"/>
    <w:tmpl w:val="4A0612EB"/>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7">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8">
    <w:nsid w:val="646F53DF"/>
    <w:multiLevelType w:val="multilevel"/>
    <w:tmpl w:val="646F53DF"/>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684F5C85"/>
    <w:multiLevelType w:val="multilevel"/>
    <w:tmpl w:val="684F5C85"/>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11">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2">
    <w:nsid w:val="6EC669D5"/>
    <w:multiLevelType w:val="multilevel"/>
    <w:tmpl w:val="6EC669D5"/>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2"/>
  </w:num>
  <w:num w:numId="2">
    <w:abstractNumId w:val="2"/>
  </w:num>
  <w:num w:numId="3">
    <w:abstractNumId w:val="10"/>
  </w:num>
  <w:num w:numId="4">
    <w:abstractNumId w:val="6"/>
  </w:num>
  <w:num w:numId="5">
    <w:abstractNumId w:val="8"/>
  </w:num>
  <w:num w:numId="6">
    <w:abstractNumId w:val="5"/>
  </w:num>
  <w:num w:numId="7">
    <w:abstractNumId w:val="3"/>
  </w:num>
  <w:num w:numId="8">
    <w:abstractNumId w:val="13"/>
  </w:num>
  <w:num w:numId="9">
    <w:abstractNumId w:val="0"/>
  </w:num>
  <w:num w:numId="10">
    <w:abstractNumId w:val="4"/>
  </w:num>
  <w:num w:numId="11">
    <w:abstractNumId w:val="11"/>
  </w:num>
  <w:num w:numId="12">
    <w:abstractNumId w:val="7"/>
  </w:num>
  <w:num w:numId="13">
    <w:abstractNumId w:val="1"/>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8EB"/>
    <w:rsid w:val="00043E44"/>
    <w:rsid w:val="000B57DA"/>
    <w:rsid w:val="00130EE5"/>
    <w:rsid w:val="00151059"/>
    <w:rsid w:val="001515ED"/>
    <w:rsid w:val="00192629"/>
    <w:rsid w:val="001E4092"/>
    <w:rsid w:val="0025112E"/>
    <w:rsid w:val="0028729A"/>
    <w:rsid w:val="00362ACB"/>
    <w:rsid w:val="003733A6"/>
    <w:rsid w:val="003C3305"/>
    <w:rsid w:val="0044718F"/>
    <w:rsid w:val="00474E5E"/>
    <w:rsid w:val="004B5611"/>
    <w:rsid w:val="004B658B"/>
    <w:rsid w:val="004D3709"/>
    <w:rsid w:val="004F56E3"/>
    <w:rsid w:val="00504514"/>
    <w:rsid w:val="005D15D6"/>
    <w:rsid w:val="00602852"/>
    <w:rsid w:val="00634B38"/>
    <w:rsid w:val="006D3654"/>
    <w:rsid w:val="006E6576"/>
    <w:rsid w:val="006F15BC"/>
    <w:rsid w:val="00783A27"/>
    <w:rsid w:val="007902F3"/>
    <w:rsid w:val="00857F0B"/>
    <w:rsid w:val="008D50C1"/>
    <w:rsid w:val="009029B9"/>
    <w:rsid w:val="009544CD"/>
    <w:rsid w:val="009D5DDE"/>
    <w:rsid w:val="009E1A05"/>
    <w:rsid w:val="00A31833"/>
    <w:rsid w:val="00A3724B"/>
    <w:rsid w:val="00A73F68"/>
    <w:rsid w:val="00B30F5F"/>
    <w:rsid w:val="00B746F1"/>
    <w:rsid w:val="00B95F8A"/>
    <w:rsid w:val="00BC08EB"/>
    <w:rsid w:val="00BC5B0A"/>
    <w:rsid w:val="00C05BDF"/>
    <w:rsid w:val="00C37D05"/>
    <w:rsid w:val="00C517A6"/>
    <w:rsid w:val="00C86F48"/>
    <w:rsid w:val="00D07A20"/>
    <w:rsid w:val="00D21077"/>
    <w:rsid w:val="00D60FB8"/>
    <w:rsid w:val="00D668CB"/>
    <w:rsid w:val="00D846B8"/>
    <w:rsid w:val="00D9430A"/>
    <w:rsid w:val="00DA3B9F"/>
    <w:rsid w:val="00EA2D6B"/>
    <w:rsid w:val="00EC1E8C"/>
    <w:rsid w:val="00F412A4"/>
    <w:rsid w:val="00F94BCF"/>
    <w:rsid w:val="00FD07FF"/>
    <w:rsid w:val="3E5D3E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qFormat/>
    <w:uiPriority w:val="99"/>
    <w:rPr>
      <w:rFonts w:ascii="Calibri" w:hAnsi="Calibri" w:eastAsia="宋体" w:cs="Times New Roman"/>
      <w:sz w:val="18"/>
      <w:szCs w:val="18"/>
    </w:rPr>
  </w:style>
  <w:style w:type="character" w:customStyle="1" w:styleId="8">
    <w:name w:val="页脚 字符"/>
    <w:basedOn w:val="5"/>
    <w:link w:val="2"/>
    <w:qFormat/>
    <w:uiPriority w:val="99"/>
    <w:rPr>
      <w:rFonts w:ascii="Calibri" w:hAnsi="Calibri" w:eastAsia="宋体" w:cs="Times New Roman"/>
      <w:sz w:val="18"/>
      <w:szCs w:val="18"/>
    </w:rPr>
  </w:style>
  <w:style w:type="paragraph" w:customStyle="1" w:styleId="9">
    <w:name w:val="_Style 8"/>
    <w:basedOn w:val="1"/>
    <w:next w:val="6"/>
    <w:qFormat/>
    <w:uiPriority w:val="34"/>
    <w:pPr>
      <w:ind w:firstLine="420" w:firstLineChars="200"/>
    </w:pPr>
    <w:rPr>
      <w:rFonts w:ascii="等线" w:hAnsi="等线" w:eastAsia="等线"/>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5545</Words>
  <Characters>5560</Characters>
  <Lines>41</Lines>
  <Paragraphs>11</Paragraphs>
  <TotalTime>561</TotalTime>
  <ScaleCrop>false</ScaleCrop>
  <LinksUpToDate>false</LinksUpToDate>
  <CharactersWithSpaces>5619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2019-12-27T03:20:00Z</dcterms:created>
  <dc:creator>Mikeyang</dc:creator>
  <cp:lastModifiedBy>蓉儿</cp:lastModifiedBy>
  <dcterms:modified xsi:type="dcterms:W3CDTF">2023-01-04T08:15:34Z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CA78C5CB5BEE4CB0864D5D0E52085EF4</vt:lpwstr>
  </property>
</Properties>
</file>