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标杆房企工程管理之门窗幕墙体系的管理要点及实战案例</w:t>
      </w:r>
    </w:p>
    <w:p>
      <w:pPr>
        <w:pStyle w:val="2"/>
        <w:jc w:val="both"/>
        <w:rPr>
          <w:rFonts w:hint="eastAsia"/>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rPr>
          <w:rFonts w:hint="eastAsia" w:ascii="微软雅黑" w:hAnsi="微软雅黑" w:eastAsia="微软雅黑" w:cs="微软雅黑"/>
          <w:sz w:val="24"/>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工程管理一直是各地产公司管理的焦点和难点，门窗又是各家地产客户报修和投诉的第一大问题来源项。面对几乎裸奔的门窗设计图纸，严苛的成本控制，不听话的供应商，紧张的建造周期、如何最大程度地提高项目门窗幕墙工程质量，减少客户投诉，降低工程整改、返工、无效成本，成为当前房地产项目管理中的一项重要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1、深刻理解并体会地产集团层级工程管理体系的三大使命，——协同建流程、目标定标准、提升抓培训；</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2、理解工程管理协同对门窗幕墙工程质量的影响，并掌握其协同管理技巧；</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sz w:val="24"/>
        </w:rPr>
        <w:t>3</w:t>
      </w:r>
      <w:r>
        <w:rPr>
          <w:rFonts w:hint="eastAsia" w:ascii="微软雅黑" w:hAnsi="微软雅黑" w:eastAsia="微软雅黑" w:cs="微软雅黑"/>
          <w:sz w:val="24"/>
        </w:rPr>
        <w:t>、理解掌握门窗幕墙工程策划的重要性和关键要素，以更好的实现产销平衡，实现产品力最大化；</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6、理解掌握门窗幕墙体系的管理要点和实战案例，以更好的掌握门窗幕墙体系的现状，问题和改进手段；</w:t>
      </w: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360" w:firstLineChars="15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第一部分：工程管理之道及门窗幕墙管理问题的现状和困惑</w:t>
      </w:r>
    </w:p>
    <w:p>
      <w:pPr>
        <w:pStyle w:val="16"/>
        <w:numPr>
          <w:ilvl w:val="1"/>
          <w:numId w:val="1"/>
        </w:numPr>
        <w:ind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6"/>
        <w:numPr>
          <w:ilvl w:val="2"/>
          <w:numId w:val="2"/>
        </w:numPr>
        <w:ind w:firstLineChars="0"/>
        <w:rPr>
          <w:rFonts w:ascii="微软雅黑" w:hAnsi="微软雅黑" w:eastAsia="微软雅黑"/>
          <w:b/>
          <w:sz w:val="24"/>
          <w:szCs w:val="24"/>
        </w:rPr>
      </w:pPr>
      <w:r>
        <w:rPr>
          <w:rFonts w:hint="eastAsia" w:ascii="微软雅黑" w:hAnsi="微软雅黑" w:eastAsia="微软雅黑"/>
          <w:b/>
          <w:sz w:val="24"/>
          <w:szCs w:val="24"/>
        </w:rPr>
        <w:t>各职能部门各自为政，追究责任都有理由，问题究竟在哪？门窗幕墙的客户报修投诉率总不能令人满意；</w:t>
      </w:r>
    </w:p>
    <w:p>
      <w:pPr>
        <w:pStyle w:val="16"/>
        <w:numPr>
          <w:ilvl w:val="2"/>
          <w:numId w:val="2"/>
        </w:numPr>
        <w:ind w:firstLineChars="0"/>
        <w:rPr>
          <w:rFonts w:ascii="微软雅黑" w:hAnsi="微软雅黑" w:eastAsia="微软雅黑"/>
          <w:b/>
          <w:sz w:val="24"/>
          <w:szCs w:val="24"/>
        </w:rPr>
      </w:pPr>
      <w:r>
        <w:rPr>
          <w:rFonts w:hint="eastAsia" w:ascii="微软雅黑" w:hAnsi="微软雅黑" w:eastAsia="微软雅黑"/>
          <w:b/>
          <w:sz w:val="24"/>
          <w:szCs w:val="24"/>
        </w:rPr>
        <w:t>门窗幕墙的质量问题是多方面群体问题，而非某个别专业因素造成的；门窗幕墙百分百零渗漏免维护做不到！</w:t>
      </w:r>
    </w:p>
    <w:p>
      <w:pPr>
        <w:pStyle w:val="16"/>
        <w:numPr>
          <w:ilvl w:val="2"/>
          <w:numId w:val="2"/>
        </w:numPr>
        <w:ind w:firstLineChars="0"/>
        <w:rPr>
          <w:rFonts w:ascii="微软雅黑" w:hAnsi="微软雅黑" w:eastAsia="微软雅黑"/>
          <w:b/>
          <w:sz w:val="24"/>
          <w:szCs w:val="24"/>
        </w:rPr>
      </w:pPr>
      <w:r>
        <w:rPr>
          <w:rFonts w:hint="eastAsia" w:ascii="微软雅黑" w:hAnsi="微软雅黑" w:eastAsia="微软雅黑"/>
          <w:b/>
          <w:sz w:val="24"/>
          <w:szCs w:val="24"/>
        </w:rPr>
        <w:t>很多门窗幕墙质量问题都是行业通病，手工活，修了还修，层出不穷；</w:t>
      </w:r>
      <w:r>
        <w:rPr>
          <w:rFonts w:hint="eastAsia" w:ascii="微软雅黑" w:hAnsi="微软雅黑" w:eastAsia="微软雅黑"/>
          <w:b/>
          <w:bCs/>
          <w:sz w:val="24"/>
          <w:szCs w:val="24"/>
        </w:rPr>
        <w:t>疲于应付客户没完没了的门窗报修投诉，每天就像消防队员；</w:t>
      </w:r>
    </w:p>
    <w:p>
      <w:pPr>
        <w:pStyle w:val="16"/>
        <w:numPr>
          <w:ilvl w:val="1"/>
          <w:numId w:val="1"/>
        </w:numPr>
        <w:ind w:firstLineChars="0"/>
        <w:rPr>
          <w:rFonts w:ascii="微软雅黑" w:hAnsi="微软雅黑" w:eastAsia="微软雅黑"/>
          <w:b/>
          <w:sz w:val="24"/>
          <w:szCs w:val="24"/>
        </w:rPr>
      </w:pPr>
      <w:r>
        <w:rPr>
          <w:rFonts w:hint="eastAsia" w:ascii="微软雅黑" w:hAnsi="微软雅黑" w:eastAsia="微软雅黑"/>
          <w:b/>
          <w:sz w:val="24"/>
          <w:szCs w:val="24"/>
        </w:rPr>
        <w:t>建立流程化的协同体系；甲方管理原因导致的现场矛盾：专业间的矛盾/甲乙方间的矛盾；跨专业协同/目标标准协同；</w:t>
      </w:r>
    </w:p>
    <w:p>
      <w:pPr>
        <w:pStyle w:val="16"/>
        <w:numPr>
          <w:ilvl w:val="1"/>
          <w:numId w:val="1"/>
        </w:numPr>
        <w:ind w:firstLineChars="0"/>
        <w:rPr>
          <w:rFonts w:ascii="微软雅黑" w:hAnsi="微软雅黑" w:eastAsia="微软雅黑"/>
          <w:b/>
          <w:sz w:val="24"/>
          <w:szCs w:val="24"/>
        </w:rPr>
      </w:pPr>
      <w:r>
        <w:rPr>
          <w:lang/>
        </w:rPr>
        <w:drawing>
          <wp:anchor distT="0" distB="0" distL="114300" distR="114300" simplePos="0" relativeHeight="251659264" behindDoc="0" locked="0" layoutInCell="1" allowOverlap="1">
            <wp:simplePos x="0" y="0"/>
            <wp:positionH relativeFrom="column">
              <wp:posOffset>6232525</wp:posOffset>
            </wp:positionH>
            <wp:positionV relativeFrom="paragraph">
              <wp:posOffset>34290</wp:posOffset>
            </wp:positionV>
            <wp:extent cx="2862580" cy="2536190"/>
            <wp:effectExtent l="0" t="0" r="0" b="8890"/>
            <wp:wrapSquare wrapText="bothSides"/>
            <wp:docPr id="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
                    <pic:cNvPicPr>
                      <a:picLocks noChangeAspect="1"/>
                    </pic:cNvPicPr>
                  </pic:nvPicPr>
                  <pic:blipFill>
                    <a:blip r:embed="rId5"/>
                    <a:stretch>
                      <a:fillRect/>
                    </a:stretch>
                  </pic:blipFill>
                  <pic:spPr>
                    <a:xfrm>
                      <a:off x="0" y="0"/>
                      <a:ext cx="2862580" cy="2536190"/>
                    </a:xfrm>
                    <a:prstGeom prst="rect">
                      <a:avLst/>
                    </a:prstGeom>
                    <a:noFill/>
                    <a:ln>
                      <a:noFill/>
                    </a:ln>
                  </pic:spPr>
                </pic:pic>
              </a:graphicData>
            </a:graphic>
          </wp:anchor>
        </w:drawing>
      </w:r>
      <w:r>
        <w:rPr>
          <w:rFonts w:hint="eastAsia" w:ascii="微软雅黑" w:hAnsi="微软雅黑" w:eastAsia="微软雅黑"/>
          <w:b/>
          <w:sz w:val="24"/>
          <w:szCs w:val="24"/>
        </w:rPr>
        <w:t>工程管理之道：协同建流程/目标定标准/能力要提高；</w:t>
      </w:r>
    </w:p>
    <w:p>
      <w:pPr>
        <w:spacing w:line="480" w:lineRule="exact"/>
        <w:rPr>
          <w:rFonts w:hint="eastAsia"/>
        </w:rPr>
      </w:pPr>
      <w:r>
        <w:rPr>
          <w:rFonts w:hint="eastAsia" w:ascii="微软雅黑" w:hAnsi="微软雅黑" w:eastAsia="微软雅黑" w:cs="微软雅黑"/>
          <w:b/>
          <w:color w:val="FF0000"/>
          <w:sz w:val="24"/>
        </w:rPr>
        <w:t>第二部分：工程协同管理</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分析各专业各部门间对项目管理的差异（工作目标/规范标准/客户视角/专业背景）；</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标杆房企的产品质量目标差异；门窗幕墙的客户投诉率控制指标设定是多少？</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现行工程规范标准差异；规范设定的目的是什么？可以直接拿来作为企业标准么？</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案例：江苏省住宅工程质量通病控制标准分析；可否进一步优化？</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案例：福建省住宅工程设计若干技术规定分析；可否进一步优化？</w:t>
      </w:r>
    </w:p>
    <w:p>
      <w:pPr>
        <w:pStyle w:val="16"/>
        <w:numPr>
          <w:ilvl w:val="2"/>
          <w:numId w:val="1"/>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案例：某标杆房企门窗洞口零渗漏构造节点案例</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以客户为关注焦点；客户满意三定律和客户投诉的代价；质量改进四大支柱，质量报修/投诉/第三方满意度调查/缺陷反馈；</w:t>
      </w:r>
    </w:p>
    <w:p>
      <w:pPr>
        <w:pStyle w:val="16"/>
        <w:numPr>
          <w:ilvl w:val="0"/>
          <w:numId w:val="3"/>
        </w:numPr>
        <w:ind w:firstLineChars="0"/>
        <w:jc w:val="left"/>
        <w:rPr>
          <w:rFonts w:ascii="微软雅黑" w:hAnsi="微软雅黑" w:eastAsia="微软雅黑"/>
          <w:b/>
          <w:sz w:val="24"/>
          <w:szCs w:val="24"/>
        </w:rPr>
      </w:pPr>
      <w:r>
        <w:rPr>
          <w:lang/>
        </w:rPr>
        <w:drawing>
          <wp:anchor distT="0" distB="0" distL="114300" distR="114300" simplePos="0" relativeHeight="251660288" behindDoc="0" locked="0" layoutInCell="1" allowOverlap="1">
            <wp:simplePos x="0" y="0"/>
            <wp:positionH relativeFrom="column">
              <wp:posOffset>5563235</wp:posOffset>
            </wp:positionH>
            <wp:positionV relativeFrom="paragraph">
              <wp:posOffset>33655</wp:posOffset>
            </wp:positionV>
            <wp:extent cx="3514725" cy="1351915"/>
            <wp:effectExtent l="0" t="0" r="5715"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3514725" cy="1351915"/>
                    </a:xfrm>
                    <a:prstGeom prst="rect">
                      <a:avLst/>
                    </a:prstGeom>
                    <a:noFill/>
                    <a:ln>
                      <a:noFill/>
                    </a:ln>
                  </pic:spPr>
                </pic:pic>
              </a:graphicData>
            </a:graphic>
          </wp:anchor>
        </w:drawing>
      </w:r>
      <w:r>
        <w:rPr>
          <w:rFonts w:hint="eastAsia" w:ascii="微软雅黑" w:hAnsi="微软雅黑" w:eastAsia="微软雅黑"/>
          <w:b/>
          <w:sz w:val="24"/>
          <w:szCs w:val="24"/>
        </w:rPr>
        <w:t>专业背景差异下，如何提高项目整体可靠度？如何增加影响因素可靠性？</w:t>
      </w:r>
      <w:r>
        <w:rPr>
          <w:rFonts w:ascii="微软雅黑" w:hAnsi="微软雅黑" w:eastAsia="微软雅黑"/>
          <w:b/>
          <w:sz w:val="24"/>
          <w:szCs w:val="24"/>
        </w:rPr>
        <w:t xml:space="preserve"> </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小故事：决定水桶能装多少水的因素是什么？</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新故事：短板下如何提高水桶容量；</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案例：如何提高外窗防渗漏性能；</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案例：外墙开窗零渗漏终极构造——如何在门窗单位成本不变总成本降低的前提下改善客户投诉数据？</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案例：外墙门窗线条防渗漏构造——如何在门窗单位成本不变总成本不变的前提下改善客户投诉数据？</w:t>
      </w:r>
    </w:p>
    <w:p>
      <w:pPr>
        <w:pStyle w:val="16"/>
        <w:numPr>
          <w:ilvl w:val="2"/>
          <w:numId w:val="1"/>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案例：某标杆房企门窗洞口带挑檐反槛企口附框零渗漏构造节点案例</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案例：门窗洞口工厂预制/带批水板/带遮阳卷帘铝合金一体化窗套零渗漏构造节点案例</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案例：门窗洞口反槛附框及收口缺陷节点案例</w:t>
      </w:r>
    </w:p>
    <w:p>
      <w:pPr>
        <w:pStyle w:val="16"/>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案例：外窗构造重数不能增加时如何降低主影响因素权重；</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增加影响因素（管理行为）可靠性；维保/设计/招采/成本/工程各条线质量改进管控协同；</w:t>
      </w:r>
      <w:r>
        <w:rPr>
          <w:rFonts w:ascii="微软雅黑" w:hAnsi="微软雅黑" w:eastAsia="微软雅黑"/>
          <w:b/>
          <w:sz w:val="24"/>
          <w:szCs w:val="24"/>
        </w:rPr>
        <w:t xml:space="preserve"> </w:t>
      </w:r>
      <w:r>
        <w:rPr>
          <w:rFonts w:hint="eastAsia" w:ascii="微软雅黑" w:hAnsi="微软雅黑" w:eastAsia="微软雅黑"/>
          <w:b/>
          <w:bCs/>
          <w:sz w:val="24"/>
          <w:szCs w:val="24"/>
        </w:rPr>
        <w:t>门窗幕墙材料配置性能需求和价值分析</w:t>
      </w:r>
      <w:r>
        <w:rPr>
          <w:rFonts w:hint="eastAsia" w:ascii="微软雅黑" w:hAnsi="微软雅黑" w:eastAsia="微软雅黑"/>
          <w:b/>
          <w:sz w:val="24"/>
          <w:szCs w:val="24"/>
        </w:rPr>
        <w:t>；</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门窗性能要求：封闭、开启、采光、换气；</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维持室内正压的要求；</w:t>
      </w:r>
      <w:r>
        <w:rPr>
          <w:rFonts w:hint="eastAsia" w:ascii="微软雅黑" w:hAnsi="微软雅黑" w:eastAsia="微软雅黑"/>
          <w:b/>
          <w:bCs/>
          <w:sz w:val="24"/>
          <w:szCs w:val="24"/>
        </w:rPr>
        <w:t>目前单位成本一定的铝合金门窗实测合格率能达到多少？材料、抗风压、开启扇刚度、五金配置优化；</w:t>
      </w:r>
    </w:p>
    <w:p>
      <w:pPr>
        <w:pStyle w:val="16"/>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产品质量管控协同总结：聚焦客户/统一目标/统一标准/培训求同/存异均好；</w:t>
      </w:r>
      <w:r>
        <w:rPr>
          <w:rFonts w:ascii="微软雅黑" w:hAnsi="微软雅黑" w:eastAsia="微软雅黑"/>
          <w:b/>
          <w:sz w:val="24"/>
          <w:szCs w:val="24"/>
        </w:rPr>
        <w:t xml:space="preserve"> </w:t>
      </w:r>
    </w:p>
    <w:p>
      <w:pPr>
        <w:spacing w:line="480" w:lineRule="exact"/>
        <w:ind w:firstLine="480" w:firstLineChars="200"/>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第三部分：工程技术管理</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房企工程质量管理理念：工程质量≠施工质量；质量管理≠质量检验</w:t>
      </w:r>
      <w:r>
        <w:rPr>
          <w:rFonts w:hint="eastAsia" w:ascii="微软雅黑" w:hAnsi="微软雅黑" w:eastAsia="微软雅黑"/>
          <w:b/>
          <w:sz w:val="24"/>
          <w:szCs w:val="24"/>
        </w:rPr>
        <w:t>；</w:t>
      </w:r>
      <w:r>
        <w:rPr>
          <w:rFonts w:ascii="微软雅黑" w:hAnsi="微软雅黑" w:eastAsia="微软雅黑"/>
          <w:b/>
          <w:sz w:val="24"/>
          <w:szCs w:val="24"/>
        </w:rPr>
        <w:t>质量管理责任≠工程部门责任；持续改进管理体系；</w:t>
      </w:r>
    </w:p>
    <w:p>
      <w:pPr>
        <w:pStyle w:val="16"/>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质量管理体系</w:t>
      </w:r>
      <w:r>
        <w:rPr>
          <w:rFonts w:ascii="微软雅黑" w:hAnsi="微软雅黑" w:eastAsia="微软雅黑"/>
          <w:b/>
          <w:sz w:val="24"/>
          <w:szCs w:val="24"/>
        </w:rPr>
        <w:t>=质量系统预控=</w:t>
      </w:r>
      <w:r>
        <w:rPr>
          <w:rFonts w:hint="eastAsia" w:ascii="微软雅黑" w:hAnsi="微软雅黑" w:eastAsia="微软雅黑"/>
          <w:b/>
          <w:sz w:val="24"/>
          <w:szCs w:val="24"/>
        </w:rPr>
        <w:t>设计/材料工艺/运维综合管控；工程提出/质量组织/职能</w:t>
      </w:r>
      <w:r>
        <w:rPr>
          <w:rFonts w:ascii="微软雅黑" w:hAnsi="微软雅黑" w:eastAsia="微软雅黑"/>
          <w:b/>
          <w:sz w:val="24"/>
          <w:szCs w:val="24"/>
        </w:rPr>
        <w:t>改进</w:t>
      </w:r>
      <w:r>
        <w:rPr>
          <w:rFonts w:hint="eastAsia" w:ascii="微软雅黑" w:hAnsi="微软雅黑" w:eastAsia="微软雅黑"/>
          <w:b/>
          <w:sz w:val="24"/>
          <w:szCs w:val="24"/>
        </w:rPr>
        <w:t>/物业</w:t>
      </w:r>
      <w:r>
        <w:rPr>
          <w:rFonts w:ascii="微软雅黑" w:hAnsi="微软雅黑" w:eastAsia="微软雅黑"/>
          <w:b/>
          <w:sz w:val="24"/>
          <w:szCs w:val="24"/>
        </w:rPr>
        <w:t>源头</w:t>
      </w:r>
      <w:r>
        <w:rPr>
          <w:rFonts w:hint="eastAsia" w:ascii="微软雅黑" w:hAnsi="微软雅黑" w:eastAsia="微软雅黑"/>
          <w:b/>
          <w:sz w:val="24"/>
          <w:szCs w:val="24"/>
        </w:rPr>
        <w:t>/客户</w:t>
      </w:r>
      <w:r>
        <w:rPr>
          <w:rFonts w:ascii="微软雅黑" w:hAnsi="微软雅黑" w:eastAsia="微软雅黑"/>
          <w:b/>
          <w:sz w:val="24"/>
          <w:szCs w:val="24"/>
        </w:rPr>
        <w:t>焦点</w:t>
      </w:r>
      <w:r>
        <w:rPr>
          <w:rFonts w:hint="eastAsia" w:ascii="微软雅黑" w:hAnsi="微软雅黑" w:eastAsia="微软雅黑"/>
          <w:b/>
          <w:sz w:val="24"/>
          <w:szCs w:val="24"/>
        </w:rPr>
        <w:t>/图纸</w:t>
      </w:r>
      <w:r>
        <w:rPr>
          <w:rFonts w:ascii="微软雅黑" w:hAnsi="微软雅黑" w:eastAsia="微软雅黑"/>
          <w:b/>
          <w:sz w:val="24"/>
          <w:szCs w:val="24"/>
        </w:rPr>
        <w:t>优先</w:t>
      </w:r>
      <w:r>
        <w:rPr>
          <w:rFonts w:hint="eastAsia" w:ascii="微软雅黑" w:hAnsi="微软雅黑" w:eastAsia="微软雅黑"/>
          <w:b/>
          <w:sz w:val="24"/>
          <w:szCs w:val="24"/>
        </w:rPr>
        <w:t>/设计</w:t>
      </w:r>
      <w:r>
        <w:rPr>
          <w:rFonts w:ascii="微软雅黑" w:hAnsi="微软雅黑" w:eastAsia="微软雅黑"/>
          <w:b/>
          <w:sz w:val="24"/>
          <w:szCs w:val="24"/>
        </w:rPr>
        <w:t>龙头</w:t>
      </w:r>
      <w:r>
        <w:rPr>
          <w:rFonts w:hint="eastAsia" w:ascii="微软雅黑" w:hAnsi="微软雅黑" w:eastAsia="微软雅黑"/>
          <w:b/>
          <w:sz w:val="24"/>
          <w:szCs w:val="24"/>
        </w:rPr>
        <w:t>；</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质量</w:t>
      </w:r>
      <w:r>
        <w:rPr>
          <w:rFonts w:ascii="微软雅黑" w:hAnsi="微软雅黑" w:eastAsia="微软雅黑"/>
          <w:b/>
          <w:sz w:val="24"/>
          <w:szCs w:val="24"/>
        </w:rPr>
        <w:t>观点对比；传统房企质量管理观点</w:t>
      </w:r>
      <w:r>
        <w:rPr>
          <w:rFonts w:hint="eastAsia" w:ascii="微软雅黑" w:hAnsi="微软雅黑" w:eastAsia="微软雅黑"/>
          <w:b/>
          <w:sz w:val="24"/>
          <w:szCs w:val="24"/>
        </w:rPr>
        <w:t>/标杆</w:t>
      </w:r>
      <w:r>
        <w:rPr>
          <w:rFonts w:ascii="微软雅黑" w:hAnsi="微软雅黑" w:eastAsia="微软雅黑"/>
          <w:b/>
          <w:sz w:val="24"/>
          <w:szCs w:val="24"/>
        </w:rPr>
        <w:t>房企质量管理观点</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工程技术</w:t>
      </w:r>
      <w:r>
        <w:rPr>
          <w:rFonts w:ascii="微软雅黑" w:hAnsi="微软雅黑" w:eastAsia="微软雅黑"/>
          <w:b/>
          <w:sz w:val="24"/>
          <w:szCs w:val="24"/>
        </w:rPr>
        <w:t>策划要点架构</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设计质量</w:t>
      </w:r>
      <w:r>
        <w:rPr>
          <w:rFonts w:ascii="微软雅黑" w:hAnsi="微软雅黑" w:eastAsia="微软雅黑"/>
          <w:b/>
          <w:sz w:val="24"/>
          <w:szCs w:val="24"/>
        </w:rPr>
        <w:t>问题</w:t>
      </w:r>
      <w:r>
        <w:rPr>
          <w:rFonts w:hint="eastAsia" w:ascii="微软雅黑" w:hAnsi="微软雅黑" w:eastAsia="微软雅黑"/>
          <w:b/>
          <w:sz w:val="24"/>
          <w:szCs w:val="24"/>
        </w:rPr>
        <w:t>通病</w:t>
      </w:r>
      <w:r>
        <w:rPr>
          <w:rFonts w:ascii="微软雅黑" w:hAnsi="微软雅黑" w:eastAsia="微软雅黑"/>
          <w:b/>
          <w:sz w:val="24"/>
          <w:szCs w:val="24"/>
        </w:rPr>
        <w:t>；</w:t>
      </w:r>
      <w:r>
        <w:rPr>
          <w:rFonts w:hint="eastAsia" w:ascii="微软雅黑" w:hAnsi="微软雅黑" w:eastAsia="微软雅黑"/>
          <w:b/>
          <w:sz w:val="24"/>
          <w:szCs w:val="24"/>
        </w:rPr>
        <w:t>缺乏有效深度的设计构造/缺乏可指导施工的设计做法/不重视现场易建性和易检性/不重视交付后产品运维的要求</w:t>
      </w:r>
    </w:p>
    <w:p>
      <w:pPr>
        <w:pStyle w:val="16"/>
        <w:numPr>
          <w:ilvl w:val="0"/>
          <w:numId w:val="4"/>
        </w:numPr>
        <w:ind w:firstLineChars="0"/>
        <w:jc w:val="left"/>
        <w:rPr>
          <w:rFonts w:ascii="微软雅黑" w:hAnsi="微软雅黑" w:eastAsia="微软雅黑"/>
          <w:b/>
          <w:sz w:val="24"/>
          <w:szCs w:val="24"/>
        </w:rPr>
      </w:pPr>
      <w:r>
        <w:rPr>
          <w:lang/>
        </w:rPr>
        <w:drawing>
          <wp:anchor distT="0" distB="0" distL="114300" distR="114300" simplePos="0" relativeHeight="251661312" behindDoc="0" locked="0" layoutInCell="1" allowOverlap="1">
            <wp:simplePos x="0" y="0"/>
            <wp:positionH relativeFrom="column">
              <wp:posOffset>4462145</wp:posOffset>
            </wp:positionH>
            <wp:positionV relativeFrom="paragraph">
              <wp:posOffset>256540</wp:posOffset>
            </wp:positionV>
            <wp:extent cx="4982845" cy="2964180"/>
            <wp:effectExtent l="0" t="0" r="63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rcRect l="12073" r="12007"/>
                    <a:stretch>
                      <a:fillRect/>
                    </a:stretch>
                  </pic:blipFill>
                  <pic:spPr>
                    <a:xfrm>
                      <a:off x="0" y="0"/>
                      <a:ext cx="4982845" cy="2964180"/>
                    </a:xfrm>
                    <a:prstGeom prst="rect">
                      <a:avLst/>
                    </a:prstGeom>
                    <a:noFill/>
                    <a:ln>
                      <a:noFill/>
                    </a:ln>
                  </pic:spPr>
                </pic:pic>
              </a:graphicData>
            </a:graphic>
          </wp:anchor>
        </w:drawing>
      </w:r>
      <w:r>
        <w:rPr>
          <w:rFonts w:hint="eastAsia" w:ascii="微软雅黑" w:hAnsi="微软雅黑" w:eastAsia="微软雅黑"/>
          <w:b/>
          <w:sz w:val="24"/>
          <w:szCs w:val="24"/>
        </w:rPr>
        <w:t>设计</w:t>
      </w:r>
      <w:r>
        <w:rPr>
          <w:rFonts w:ascii="微软雅黑" w:hAnsi="微软雅黑" w:eastAsia="微软雅黑"/>
          <w:b/>
          <w:sz w:val="24"/>
          <w:szCs w:val="24"/>
        </w:rPr>
        <w:t>品质和效果对客户的重要性分析</w:t>
      </w:r>
      <w:r>
        <w:rPr>
          <w:rFonts w:hint="eastAsia" w:ascii="微软雅黑" w:hAnsi="微软雅黑" w:eastAsia="微软雅黑"/>
          <w:b/>
          <w:sz w:val="24"/>
          <w:szCs w:val="24"/>
        </w:rPr>
        <w:t>；</w:t>
      </w:r>
    </w:p>
    <w:p>
      <w:pPr>
        <w:pStyle w:val="16"/>
        <w:ind w:left="1260" w:firstLine="0" w:firstLineChars="0"/>
        <w:jc w:val="left"/>
        <w:rPr>
          <w:rFonts w:ascii="微软雅黑" w:hAnsi="微软雅黑" w:eastAsia="微软雅黑"/>
          <w:b/>
          <w:bCs/>
          <w:sz w:val="24"/>
          <w:szCs w:val="24"/>
        </w:rPr>
      </w:pPr>
      <w:r>
        <w:rPr>
          <w:rFonts w:hint="eastAsia" w:ascii="微软雅黑" w:hAnsi="微软雅黑" w:eastAsia="微软雅黑"/>
          <w:b/>
          <w:bCs/>
          <w:sz w:val="24"/>
          <w:szCs w:val="24"/>
        </w:rPr>
        <w:t>购买阶段价值排序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设计效果＞功能组合＞材料品质＞品牌追求</w:t>
      </w:r>
    </w:p>
    <w:p>
      <w:pPr>
        <w:pStyle w:val="16"/>
        <w:ind w:left="1260" w:firstLine="0"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入住阶段价值排序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功能效果＞材料品质＞设计效果＞品牌追求</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建立以客户为关注焦点的质量管理体系；</w:t>
      </w:r>
    </w:p>
    <w:p>
      <w:pPr>
        <w:pStyle w:val="16"/>
        <w:numPr>
          <w:ilvl w:val="2"/>
          <w:numId w:val="1"/>
        </w:numPr>
        <w:ind w:firstLineChars="0"/>
        <w:jc w:val="left"/>
        <w:rPr>
          <w:rFonts w:ascii="微软雅黑" w:hAnsi="微软雅黑" w:eastAsia="微软雅黑" w:cs="微软雅黑"/>
          <w:b/>
          <w:bCs/>
          <w:sz w:val="24"/>
        </w:rPr>
      </w:pPr>
      <w:r>
        <w:rPr>
          <w:rFonts w:hint="eastAsia" w:ascii="微软雅黑" w:hAnsi="微软雅黑" w:eastAsia="微软雅黑" w:cs="微软雅黑"/>
          <w:b/>
          <w:bCs/>
          <w:sz w:val="24"/>
        </w:rPr>
        <w:t>案例：XX地产公司的客户</w:t>
      </w:r>
      <w:r>
        <w:rPr>
          <w:rFonts w:ascii="微软雅黑" w:hAnsi="微软雅黑" w:eastAsia="微软雅黑" w:cs="微软雅黑"/>
          <w:b/>
          <w:bCs/>
          <w:sz w:val="24"/>
        </w:rPr>
        <w:t>报修数据库</w:t>
      </w:r>
    </w:p>
    <w:p>
      <w:pPr>
        <w:pStyle w:val="16"/>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质量改进</w:t>
      </w:r>
      <w:r>
        <w:rPr>
          <w:rFonts w:ascii="微软雅黑" w:hAnsi="微软雅黑" w:eastAsia="微软雅黑"/>
          <w:b/>
          <w:sz w:val="24"/>
          <w:szCs w:val="24"/>
        </w:rPr>
        <w:t>：</w:t>
      </w:r>
      <w:r>
        <w:rPr>
          <w:rFonts w:hint="eastAsia" w:ascii="微软雅黑" w:hAnsi="微软雅黑" w:eastAsia="微软雅黑"/>
          <w:b/>
          <w:sz w:val="24"/>
          <w:szCs w:val="24"/>
        </w:rPr>
        <w:t>客户</w:t>
      </w:r>
      <w:r>
        <w:rPr>
          <w:rFonts w:ascii="微软雅黑" w:hAnsi="微软雅黑" w:eastAsia="微软雅黑"/>
          <w:b/>
          <w:sz w:val="24"/>
          <w:szCs w:val="24"/>
        </w:rPr>
        <w:t>报修</w:t>
      </w:r>
      <w:r>
        <w:rPr>
          <w:rFonts w:hint="eastAsia" w:ascii="微软雅黑" w:hAnsi="微软雅黑" w:eastAsia="微软雅黑"/>
          <w:b/>
          <w:sz w:val="24"/>
          <w:szCs w:val="24"/>
        </w:rPr>
        <w:t>/投诉/第三方</w:t>
      </w:r>
      <w:r>
        <w:rPr>
          <w:rFonts w:ascii="微软雅黑" w:hAnsi="微软雅黑" w:eastAsia="微软雅黑"/>
          <w:b/>
          <w:sz w:val="24"/>
          <w:szCs w:val="24"/>
        </w:rPr>
        <w:t>调研</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6"/>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 xml:space="preserve">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w:t>
      </w:r>
      <w:r>
        <w:rPr>
          <w:rFonts w:ascii="微软雅黑" w:hAnsi="微软雅黑" w:eastAsia="微软雅黑"/>
          <w:b/>
          <w:sz w:val="24"/>
          <w:szCs w:val="24"/>
        </w:rPr>
        <w:t>电气</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缺陷反馈的重要性及必要性分析</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雨棚缺失渗漏缺陷案例；金属雨棚渗漏案例；地下室采光窗渗漏案例；地下室玻璃采光窗渗漏案例；型材拼接渗漏案例；组角裂缝缺陷案例；组角胶条打胶工艺缺陷案例；组角螺丝工艺缺陷案例；型材锁体不匹配缺陷案例；紧固件错用缺陷案例；门窗系统不配套案例；密封胶条弹性\断裂\收缩\直拼\脱落\变形缺陷案例；胶条设计需求案例；密封胶脱胶缺陷案例；密封胶老化开裂缺陷案例；白油污染缺陷案例；胶体自身开裂缺陷案例；密封胶过薄开裂案例；密封胶和胶条相溶案例；墙体盐析缺陷案例；干燥环境开裂缺陷案例；酸洗霉斑缺陷案例；外平开窗分析：内开内倒窗分析；系统窗密封优势；石材幕墙缺陷案例；T型挂件案例；不合格挂件缺陷案例；背栓卡栓案例；石材背网不合格案例；埋板焊接缺陷案例；金属幕墙开逢缺陷案例；隐框幕墙窗密封缺陷案例；平移窗缺陷案例；幕墙窗密封缺陷案例；密封胶蒸汽爆裂案例；密封胶垂流污染案例；铝塑门窗；</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w:t>
      </w:r>
      <w:r>
        <w:rPr>
          <w:rFonts w:ascii="微软雅黑" w:hAnsi="微软雅黑" w:eastAsia="微软雅黑"/>
          <w:b/>
          <w:sz w:val="24"/>
          <w:szCs w:val="24"/>
        </w:rPr>
        <w:t>反馈管控小结：</w:t>
      </w:r>
      <w:r>
        <w:rPr>
          <w:rFonts w:hint="eastAsia" w:ascii="微软雅黑" w:hAnsi="微软雅黑" w:eastAsia="微软雅黑"/>
          <w:b/>
          <w:sz w:val="24"/>
          <w:szCs w:val="24"/>
        </w:rPr>
        <w:t>定量分析找到最佳解决方案/数据优选提炼/施工周期影响质量迭代时间/引进成熟样本迭代，提升满意度</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施工图集内容和编制要点；</w:t>
      </w:r>
      <w:r>
        <w:rPr>
          <w:rFonts w:ascii="微软雅黑" w:hAnsi="微软雅黑" w:eastAsia="微软雅黑"/>
          <w:b/>
          <w:sz w:val="24"/>
          <w:szCs w:val="24"/>
        </w:rPr>
        <w:t>图集原则</w:t>
      </w:r>
      <w:r>
        <w:rPr>
          <w:rFonts w:hint="eastAsia" w:ascii="微软雅黑" w:hAnsi="微软雅黑" w:eastAsia="微软雅黑"/>
          <w:b/>
          <w:sz w:val="24"/>
          <w:szCs w:val="24"/>
        </w:rPr>
        <w:t>/</w:t>
      </w:r>
      <w:r>
        <w:rPr>
          <w:rFonts w:ascii="微软雅黑" w:hAnsi="微软雅黑" w:eastAsia="微软雅黑"/>
          <w:b/>
          <w:sz w:val="24"/>
          <w:szCs w:val="24"/>
        </w:rPr>
        <w:t>模块</w:t>
      </w:r>
      <w:r>
        <w:rPr>
          <w:rFonts w:hint="eastAsia" w:ascii="微软雅黑" w:hAnsi="微软雅黑" w:eastAsia="微软雅黑"/>
          <w:b/>
          <w:sz w:val="24"/>
          <w:szCs w:val="24"/>
        </w:rPr>
        <w:t>/</w:t>
      </w:r>
      <w:r>
        <w:rPr>
          <w:rFonts w:ascii="微软雅黑" w:hAnsi="微软雅黑" w:eastAsia="微软雅黑"/>
          <w:b/>
          <w:sz w:val="24"/>
          <w:szCs w:val="24"/>
        </w:rPr>
        <w:t>图片</w:t>
      </w:r>
      <w:r>
        <w:rPr>
          <w:rFonts w:hint="eastAsia" w:ascii="微软雅黑" w:hAnsi="微软雅黑" w:eastAsia="微软雅黑"/>
          <w:b/>
          <w:sz w:val="24"/>
          <w:szCs w:val="24"/>
        </w:rPr>
        <w:t>/</w:t>
      </w:r>
      <w:r>
        <w:rPr>
          <w:rFonts w:ascii="微软雅黑" w:hAnsi="微软雅黑" w:eastAsia="微软雅黑"/>
          <w:b/>
          <w:sz w:val="24"/>
          <w:szCs w:val="24"/>
        </w:rPr>
        <w:t>技术</w:t>
      </w:r>
      <w:r>
        <w:rPr>
          <w:rFonts w:hint="eastAsia" w:ascii="微软雅黑" w:hAnsi="微软雅黑" w:eastAsia="微软雅黑"/>
          <w:b/>
          <w:sz w:val="24"/>
          <w:szCs w:val="24"/>
        </w:rPr>
        <w:t>/</w:t>
      </w:r>
      <w:r>
        <w:rPr>
          <w:rFonts w:ascii="微软雅黑" w:hAnsi="微软雅黑" w:eastAsia="微软雅黑"/>
          <w:b/>
          <w:sz w:val="24"/>
          <w:szCs w:val="24"/>
        </w:rPr>
        <w:t>参数</w:t>
      </w:r>
      <w:r>
        <w:rPr>
          <w:rFonts w:hint="eastAsia" w:ascii="微软雅黑" w:hAnsi="微软雅黑" w:eastAsia="微软雅黑"/>
          <w:b/>
          <w:sz w:val="24"/>
          <w:szCs w:val="24"/>
        </w:rPr>
        <w:t>/成本</w:t>
      </w:r>
      <w:r>
        <w:rPr>
          <w:rFonts w:ascii="微软雅黑" w:hAnsi="微软雅黑" w:eastAsia="微软雅黑"/>
          <w:b/>
          <w:sz w:val="24"/>
          <w:szCs w:val="24"/>
        </w:rPr>
        <w:t>分析</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6"/>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缺陷反馈</w:t>
      </w:r>
      <w:r>
        <w:rPr>
          <w:rFonts w:ascii="微软雅黑" w:hAnsi="微软雅黑" w:eastAsia="微软雅黑"/>
          <w:b/>
          <w:sz w:val="24"/>
          <w:szCs w:val="24"/>
        </w:rPr>
        <w:t>溯源</w:t>
      </w:r>
      <w:r>
        <w:rPr>
          <w:rFonts w:hint="eastAsia" w:ascii="微软雅黑" w:hAnsi="微软雅黑" w:eastAsia="微软雅黑"/>
          <w:b/>
          <w:sz w:val="24"/>
          <w:szCs w:val="24"/>
        </w:rPr>
        <w:t>/</w:t>
      </w:r>
      <w:r>
        <w:rPr>
          <w:rFonts w:ascii="微软雅黑" w:hAnsi="微软雅黑" w:eastAsia="微软雅黑"/>
          <w:b/>
          <w:sz w:val="24"/>
          <w:szCs w:val="24"/>
        </w:rPr>
        <w:t>要素统计分析改进</w:t>
      </w:r>
      <w:r>
        <w:rPr>
          <w:rFonts w:hint="eastAsia" w:ascii="微软雅黑" w:hAnsi="微软雅黑" w:eastAsia="微软雅黑"/>
          <w:b/>
          <w:sz w:val="24"/>
          <w:szCs w:val="24"/>
        </w:rPr>
        <w:t>/</w:t>
      </w:r>
      <w:r>
        <w:rPr>
          <w:rFonts w:ascii="微软雅黑" w:hAnsi="微软雅黑" w:eastAsia="微软雅黑"/>
          <w:b/>
          <w:sz w:val="24"/>
          <w:szCs w:val="24"/>
        </w:rPr>
        <w:t>改进最优解</w:t>
      </w:r>
      <w:r>
        <w:rPr>
          <w:rFonts w:hint="eastAsia" w:ascii="微软雅黑" w:hAnsi="微软雅黑" w:eastAsia="微软雅黑"/>
          <w:b/>
          <w:sz w:val="24"/>
          <w:szCs w:val="24"/>
        </w:rPr>
        <w:t>/构造</w:t>
      </w:r>
      <w:r>
        <w:rPr>
          <w:rFonts w:ascii="微软雅黑" w:hAnsi="微软雅黑" w:eastAsia="微软雅黑"/>
          <w:b/>
          <w:sz w:val="24"/>
          <w:szCs w:val="24"/>
        </w:rPr>
        <w:t>、材料、工艺、运维</w:t>
      </w:r>
    </w:p>
    <w:p>
      <w:pPr>
        <w:pStyle w:val="16"/>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施工图集原则模型图片</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施工图集</w:t>
      </w:r>
      <w:r>
        <w:rPr>
          <w:rFonts w:ascii="微软雅黑" w:hAnsi="微软雅黑" w:eastAsia="微软雅黑"/>
          <w:b/>
          <w:sz w:val="24"/>
          <w:szCs w:val="24"/>
        </w:rPr>
        <w:t>设计</w:t>
      </w:r>
      <w:r>
        <w:rPr>
          <w:rFonts w:hint="eastAsia" w:ascii="微软雅黑" w:hAnsi="微软雅黑" w:eastAsia="微软雅黑"/>
          <w:b/>
          <w:sz w:val="24"/>
          <w:szCs w:val="24"/>
        </w:rPr>
        <w:t>/合约</w:t>
      </w:r>
      <w:r>
        <w:rPr>
          <w:rFonts w:ascii="微软雅黑" w:hAnsi="微软雅黑" w:eastAsia="微软雅黑"/>
          <w:b/>
          <w:sz w:val="24"/>
          <w:szCs w:val="24"/>
        </w:rPr>
        <w:t>管控要</w:t>
      </w:r>
      <w:r>
        <w:rPr>
          <w:rFonts w:hint="eastAsia" w:ascii="微软雅黑" w:hAnsi="微软雅黑" w:eastAsia="微软雅黑"/>
          <w:b/>
          <w:sz w:val="24"/>
          <w:szCs w:val="24"/>
        </w:rPr>
        <w:t>点</w:t>
      </w:r>
      <w:r>
        <w:rPr>
          <w:rFonts w:ascii="微软雅黑" w:hAnsi="微软雅黑" w:eastAsia="微软雅黑"/>
          <w:b/>
          <w:sz w:val="24"/>
          <w:szCs w:val="24"/>
        </w:rPr>
        <w:t>；标准化</w:t>
      </w:r>
      <w:r>
        <w:rPr>
          <w:rFonts w:hint="eastAsia" w:ascii="微软雅黑" w:hAnsi="微软雅黑" w:eastAsia="微软雅黑"/>
          <w:b/>
          <w:sz w:val="24"/>
          <w:szCs w:val="24"/>
        </w:rPr>
        <w:t>施工</w:t>
      </w:r>
      <w:r>
        <w:rPr>
          <w:rFonts w:ascii="微软雅黑" w:hAnsi="微软雅黑" w:eastAsia="微软雅黑"/>
          <w:b/>
          <w:sz w:val="24"/>
          <w:szCs w:val="24"/>
        </w:rPr>
        <w:t>图集</w:t>
      </w:r>
      <w:r>
        <w:rPr>
          <w:rFonts w:hint="eastAsia" w:ascii="微软雅黑" w:hAnsi="微软雅黑" w:eastAsia="微软雅黑"/>
          <w:b/>
          <w:sz w:val="24"/>
          <w:szCs w:val="24"/>
        </w:rPr>
        <w:t>：</w:t>
      </w:r>
      <w:r>
        <w:rPr>
          <w:rFonts w:ascii="微软雅黑" w:hAnsi="微软雅黑" w:eastAsia="微软雅黑"/>
          <w:b/>
          <w:sz w:val="24"/>
          <w:szCs w:val="24"/>
        </w:rPr>
        <w:t>战略协议</w:t>
      </w:r>
      <w:r>
        <w:rPr>
          <w:rFonts w:hint="eastAsia" w:ascii="微软雅黑" w:hAnsi="微软雅黑" w:eastAsia="微软雅黑"/>
          <w:b/>
          <w:sz w:val="24"/>
          <w:szCs w:val="24"/>
        </w:rPr>
        <w:t>/设计</w:t>
      </w:r>
      <w:r>
        <w:rPr>
          <w:rFonts w:ascii="微软雅黑" w:hAnsi="微软雅黑" w:eastAsia="微软雅黑"/>
          <w:b/>
          <w:sz w:val="24"/>
          <w:szCs w:val="24"/>
        </w:rPr>
        <w:t>协议</w:t>
      </w:r>
      <w:r>
        <w:rPr>
          <w:rFonts w:hint="eastAsia" w:ascii="微软雅黑" w:hAnsi="微软雅黑" w:eastAsia="微软雅黑"/>
          <w:b/>
          <w:sz w:val="24"/>
          <w:szCs w:val="24"/>
        </w:rPr>
        <w:t>/咨询</w:t>
      </w:r>
      <w:r>
        <w:rPr>
          <w:rFonts w:ascii="微软雅黑" w:hAnsi="微软雅黑" w:eastAsia="微软雅黑"/>
          <w:b/>
          <w:sz w:val="24"/>
          <w:szCs w:val="24"/>
        </w:rPr>
        <w:t>协议</w:t>
      </w:r>
      <w:r>
        <w:rPr>
          <w:rFonts w:hint="eastAsia" w:ascii="微软雅黑" w:hAnsi="微软雅黑" w:eastAsia="微软雅黑"/>
          <w:b/>
          <w:sz w:val="24"/>
          <w:szCs w:val="24"/>
        </w:rPr>
        <w:t>/施工</w:t>
      </w:r>
      <w:r>
        <w:rPr>
          <w:rFonts w:ascii="微软雅黑" w:hAnsi="微软雅黑" w:eastAsia="微软雅黑"/>
          <w:b/>
          <w:sz w:val="24"/>
          <w:szCs w:val="24"/>
        </w:rPr>
        <w:t>协议</w:t>
      </w:r>
    </w:p>
    <w:p>
      <w:pPr>
        <w:pStyle w:val="16"/>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企业工</w:t>
      </w:r>
      <w:r>
        <w:rPr>
          <w:rFonts w:hint="eastAsia" w:ascii="微软雅黑" w:hAnsi="微软雅黑" w:eastAsia="微软雅黑"/>
          <w:b/>
          <w:sz w:val="24"/>
          <w:szCs w:val="24"/>
        </w:rPr>
        <w:t>程四图目的：避免设计无图、图纸精度不足或图纸错误/明确生产施工工艺验评、成保、运维标准/明确供方技术标准和管理要求/完成供方战略采购依据/成本工程重计量依据/实现零变更洽商总价包死</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四图</w:t>
      </w:r>
      <w:r>
        <w:rPr>
          <w:rFonts w:ascii="微软雅黑" w:hAnsi="微软雅黑" w:eastAsia="微软雅黑"/>
          <w:b/>
          <w:sz w:val="24"/>
          <w:szCs w:val="24"/>
        </w:rPr>
        <w:t>策划</w:t>
      </w:r>
      <w:r>
        <w:rPr>
          <w:rFonts w:hint="eastAsia" w:ascii="微软雅黑" w:hAnsi="微软雅黑" w:eastAsia="微软雅黑"/>
          <w:b/>
          <w:sz w:val="24"/>
          <w:szCs w:val="24"/>
        </w:rPr>
        <w:t>先行</w:t>
      </w:r>
      <w:r>
        <w:rPr>
          <w:rFonts w:ascii="微软雅黑" w:hAnsi="微软雅黑" w:eastAsia="微软雅黑"/>
          <w:b/>
          <w:sz w:val="24"/>
          <w:szCs w:val="24"/>
        </w:rPr>
        <w:t>：深化设计图</w:t>
      </w:r>
      <w:r>
        <w:rPr>
          <w:rFonts w:hint="eastAsia" w:ascii="微软雅黑" w:hAnsi="微软雅黑" w:eastAsia="微软雅黑"/>
          <w:b/>
          <w:sz w:val="24"/>
          <w:szCs w:val="24"/>
        </w:rPr>
        <w:t>/生产</w:t>
      </w:r>
      <w:r>
        <w:rPr>
          <w:rFonts w:ascii="微软雅黑" w:hAnsi="微软雅黑" w:eastAsia="微软雅黑"/>
          <w:b/>
          <w:sz w:val="24"/>
          <w:szCs w:val="24"/>
        </w:rPr>
        <w:t>加工图</w:t>
      </w:r>
      <w:r>
        <w:rPr>
          <w:rFonts w:hint="eastAsia" w:ascii="微软雅黑" w:hAnsi="微软雅黑" w:eastAsia="微软雅黑"/>
          <w:b/>
          <w:sz w:val="24"/>
          <w:szCs w:val="24"/>
        </w:rPr>
        <w:t>/现场</w:t>
      </w:r>
      <w:r>
        <w:rPr>
          <w:rFonts w:ascii="微软雅黑" w:hAnsi="微软雅黑" w:eastAsia="微软雅黑"/>
          <w:b/>
          <w:sz w:val="24"/>
          <w:szCs w:val="24"/>
        </w:rPr>
        <w:t>安装图</w:t>
      </w:r>
      <w:r>
        <w:rPr>
          <w:rFonts w:hint="eastAsia" w:ascii="微软雅黑" w:hAnsi="微软雅黑" w:eastAsia="微软雅黑"/>
          <w:b/>
          <w:sz w:val="24"/>
          <w:szCs w:val="24"/>
        </w:rPr>
        <w:t>/成品</w:t>
      </w:r>
      <w:r>
        <w:rPr>
          <w:rFonts w:ascii="微软雅黑" w:hAnsi="微软雅黑" w:eastAsia="微软雅黑"/>
          <w:b/>
          <w:sz w:val="24"/>
          <w:szCs w:val="24"/>
        </w:rPr>
        <w:t>保护图</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案例：现场四图管理缺失案例</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bCs/>
          <w:sz w:val="24"/>
        </w:rPr>
        <w:t>工程四图执行例题</w:t>
      </w:r>
    </w:p>
    <w:p>
      <w:pPr>
        <w:pStyle w:val="16"/>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监理</w:t>
      </w:r>
      <w:r>
        <w:rPr>
          <w:rFonts w:ascii="微软雅黑" w:hAnsi="微软雅黑" w:eastAsia="微软雅黑"/>
          <w:b/>
          <w:sz w:val="24"/>
          <w:szCs w:val="24"/>
        </w:rPr>
        <w:t>例会过程管控要点</w:t>
      </w:r>
    </w:p>
    <w:p>
      <w:pPr>
        <w:pStyle w:val="16"/>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：监理例会</w:t>
      </w:r>
      <w:r>
        <w:rPr>
          <w:rFonts w:hint="eastAsia" w:ascii="微软雅黑" w:hAnsi="微软雅黑" w:eastAsia="微软雅黑"/>
          <w:b/>
          <w:sz w:val="24"/>
          <w:szCs w:val="24"/>
        </w:rPr>
        <w:t>沟通缺陷案例分析</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交底会议目的</w:t>
      </w:r>
      <w:r>
        <w:rPr>
          <w:rFonts w:hint="eastAsia" w:ascii="微软雅黑" w:hAnsi="微软雅黑" w:eastAsia="微软雅黑"/>
          <w:b/>
          <w:sz w:val="24"/>
          <w:szCs w:val="24"/>
        </w:rPr>
        <w:t>：加强掌握产品标准和管理要求/加强专业间学习、协同/提升员工能力素质/提升工程管理水平</w:t>
      </w:r>
    </w:p>
    <w:p>
      <w:pPr>
        <w:pStyle w:val="16"/>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交底会议</w:t>
      </w:r>
      <w:r>
        <w:rPr>
          <w:rFonts w:hint="eastAsia" w:ascii="微软雅黑" w:hAnsi="微软雅黑" w:eastAsia="微软雅黑"/>
          <w:b/>
          <w:sz w:val="24"/>
          <w:szCs w:val="24"/>
        </w:rPr>
        <w:t>内容：</w:t>
      </w:r>
      <w:r>
        <w:rPr>
          <w:rFonts w:hint="eastAsia" w:ascii="微软雅黑" w:hAnsi="微软雅黑" w:eastAsia="微软雅黑"/>
          <w:b/>
          <w:bCs/>
          <w:sz w:val="24"/>
          <w:szCs w:val="24"/>
        </w:rPr>
        <w:t>工程管理策划/缺陷反馈图集/</w:t>
      </w:r>
      <w:r>
        <w:rPr>
          <w:rFonts w:hint="eastAsia" w:ascii="微软雅黑" w:hAnsi="微软雅黑" w:eastAsia="微软雅黑"/>
          <w:b/>
          <w:bCs/>
          <w:sz w:val="24"/>
        </w:rPr>
        <w:t>标准化施工图集</w:t>
      </w:r>
      <w:r>
        <w:rPr>
          <w:rFonts w:hint="eastAsia" w:ascii="微软雅黑" w:hAnsi="微软雅黑" w:eastAsia="微软雅黑"/>
          <w:b/>
          <w:bCs/>
          <w:sz w:val="24"/>
          <w:szCs w:val="24"/>
        </w:rPr>
        <w:t>/技术标准</w:t>
      </w:r>
      <w:r>
        <w:rPr>
          <w:rFonts w:hint="eastAsia" w:ascii="微软雅黑" w:hAnsi="微软雅黑" w:eastAsia="微软雅黑"/>
          <w:b/>
          <w:bCs/>
          <w:sz w:val="24"/>
        </w:rPr>
        <w:t>管理要求，总分包合同条款/质量、进度、成本控制流程和标准/</w:t>
      </w:r>
      <w:r>
        <w:rPr>
          <w:rFonts w:hint="eastAsia" w:ascii="微软雅黑" w:hAnsi="微软雅黑" w:eastAsia="微软雅黑"/>
          <w:b/>
          <w:bCs/>
          <w:sz w:val="24"/>
          <w:szCs w:val="24"/>
        </w:rPr>
        <w:t>安全文明施工管理流程和标准/设计图纸</w:t>
      </w:r>
      <w:r>
        <w:rPr>
          <w:rFonts w:hint="eastAsia" w:ascii="微软雅黑" w:hAnsi="微软雅黑" w:eastAsia="微软雅黑"/>
          <w:b/>
          <w:bCs/>
          <w:sz w:val="24"/>
        </w:rPr>
        <w:t>深化四图</w:t>
      </w:r>
    </w:p>
    <w:p>
      <w:pPr>
        <w:pStyle w:val="16"/>
        <w:numPr>
          <w:ilvl w:val="0"/>
          <w:numId w:val="4"/>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技术设计交底和图审会议要点：设计交底</w:t>
      </w:r>
      <w:r>
        <w:rPr>
          <w:rFonts w:hint="eastAsia" w:ascii="微软雅黑" w:hAnsi="微软雅黑" w:eastAsia="微软雅黑"/>
          <w:b/>
          <w:bCs/>
          <w:sz w:val="24"/>
          <w:szCs w:val="24"/>
        </w:rPr>
        <w:t>4个</w:t>
      </w:r>
      <w:r>
        <w:rPr>
          <w:rFonts w:ascii="微软雅黑" w:hAnsi="微软雅黑" w:eastAsia="微软雅黑"/>
          <w:b/>
          <w:bCs/>
          <w:sz w:val="24"/>
          <w:szCs w:val="24"/>
        </w:rPr>
        <w:t>关键要点</w:t>
      </w:r>
      <w:r>
        <w:rPr>
          <w:rFonts w:hint="eastAsia" w:ascii="微软雅黑" w:hAnsi="微软雅黑" w:eastAsia="微软雅黑"/>
          <w:b/>
          <w:bCs/>
          <w:sz w:val="24"/>
          <w:szCs w:val="24"/>
        </w:rPr>
        <w:t>，</w:t>
      </w:r>
      <w:r>
        <w:rPr>
          <w:rFonts w:ascii="微软雅黑" w:hAnsi="微软雅黑" w:eastAsia="微软雅黑"/>
          <w:b/>
          <w:bCs/>
          <w:sz w:val="24"/>
          <w:szCs w:val="24"/>
        </w:rPr>
        <w:t>PDCA；图纸审查5</w:t>
      </w:r>
      <w:r>
        <w:rPr>
          <w:rFonts w:hint="eastAsia" w:ascii="微软雅黑" w:hAnsi="微软雅黑" w:eastAsia="微软雅黑"/>
          <w:b/>
          <w:bCs/>
          <w:sz w:val="24"/>
          <w:szCs w:val="24"/>
        </w:rPr>
        <w:t>个</w:t>
      </w:r>
      <w:r>
        <w:rPr>
          <w:rFonts w:ascii="微软雅黑" w:hAnsi="微软雅黑" w:eastAsia="微软雅黑"/>
          <w:b/>
          <w:bCs/>
          <w:sz w:val="24"/>
          <w:szCs w:val="24"/>
        </w:rPr>
        <w:t>关键</w:t>
      </w:r>
      <w:r>
        <w:rPr>
          <w:rFonts w:ascii="微软雅黑" w:hAnsi="微软雅黑" w:eastAsia="微软雅黑"/>
          <w:b/>
          <w:sz w:val="24"/>
          <w:szCs w:val="24"/>
        </w:rPr>
        <w:t>阶段：可研阶段</w:t>
      </w:r>
      <w:r>
        <w:rPr>
          <w:rFonts w:hint="eastAsia" w:ascii="微软雅黑" w:hAnsi="微软雅黑" w:eastAsia="微软雅黑"/>
          <w:b/>
          <w:sz w:val="24"/>
          <w:szCs w:val="24"/>
        </w:rPr>
        <w:t>/前期</w:t>
      </w:r>
      <w:r>
        <w:rPr>
          <w:rFonts w:ascii="微软雅黑" w:hAnsi="微软雅黑" w:eastAsia="微软雅黑"/>
          <w:b/>
          <w:sz w:val="24"/>
          <w:szCs w:val="24"/>
        </w:rPr>
        <w:t>阶段</w:t>
      </w:r>
      <w:r>
        <w:rPr>
          <w:rFonts w:hint="eastAsia" w:ascii="微软雅黑" w:hAnsi="微软雅黑" w:eastAsia="微软雅黑"/>
          <w:b/>
          <w:sz w:val="24"/>
          <w:szCs w:val="24"/>
        </w:rPr>
        <w:t>/开发</w:t>
      </w:r>
      <w:r>
        <w:rPr>
          <w:rFonts w:ascii="微软雅黑" w:hAnsi="微软雅黑" w:eastAsia="微软雅黑"/>
          <w:b/>
          <w:sz w:val="24"/>
          <w:szCs w:val="24"/>
        </w:rPr>
        <w:t>阶段</w:t>
      </w:r>
      <w:r>
        <w:rPr>
          <w:rFonts w:hint="eastAsia" w:ascii="微软雅黑" w:hAnsi="微软雅黑" w:eastAsia="微软雅黑"/>
          <w:b/>
          <w:sz w:val="24"/>
          <w:szCs w:val="24"/>
        </w:rPr>
        <w:t>/实楼</w:t>
      </w:r>
      <w:r>
        <w:rPr>
          <w:rFonts w:ascii="微软雅黑" w:hAnsi="微软雅黑" w:eastAsia="微软雅黑"/>
          <w:b/>
          <w:sz w:val="24"/>
          <w:szCs w:val="24"/>
        </w:rPr>
        <w:t>样板间施工前</w:t>
      </w:r>
      <w:r>
        <w:rPr>
          <w:rFonts w:hint="eastAsia" w:ascii="微软雅黑" w:hAnsi="微软雅黑" w:eastAsia="微软雅黑"/>
          <w:b/>
          <w:sz w:val="24"/>
          <w:szCs w:val="24"/>
        </w:rPr>
        <w:t>/使用</w:t>
      </w:r>
      <w:r>
        <w:rPr>
          <w:rFonts w:ascii="微软雅黑" w:hAnsi="微软雅黑" w:eastAsia="微软雅黑"/>
          <w:b/>
          <w:sz w:val="24"/>
          <w:szCs w:val="24"/>
        </w:rPr>
        <w:t>阶段</w:t>
      </w:r>
    </w:p>
    <w:p>
      <w:pPr>
        <w:pStyle w:val="16"/>
        <w:numPr>
          <w:ilvl w:val="0"/>
          <w:numId w:val="7"/>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工程技术设计交底会议缺失图审案例</w:t>
      </w:r>
    </w:p>
    <w:p>
      <w:pPr>
        <w:pStyle w:val="16"/>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工程技术供方管理</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 明确本项目总包管理权责范围/明确本项目监理监督现场施工的权责范围/明确本项目总控计划管理要求/明确本项目总分包合约界面划分/明确本项目会议协调决策机制</w:t>
      </w:r>
    </w:p>
    <w:p>
      <w:pPr>
        <w:pStyle w:val="16"/>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工程技术标准要求</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本项目质量要求和目标/各单位的施工范围和部位/本项目指定采用的工艺流程及技术标准/本项目指定采用的验评标准/本项目指定采用的材料/本项目匹配的施工机具/本项目安全环境要求/本项目特殊工序工艺操作要点</w:t>
      </w:r>
    </w:p>
    <w:p>
      <w:pPr>
        <w:pStyle w:val="16"/>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工程</w:t>
      </w:r>
      <w:r>
        <w:rPr>
          <w:rFonts w:ascii="微软雅黑" w:hAnsi="微软雅黑" w:eastAsia="微软雅黑"/>
          <w:b/>
          <w:bCs/>
          <w:sz w:val="24"/>
          <w:szCs w:val="24"/>
        </w:rPr>
        <w:t>技术施工交底会议缺失案例</w:t>
      </w:r>
    </w:p>
    <w:p>
      <w:pPr>
        <w:pStyle w:val="16"/>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标杆</w:t>
      </w:r>
      <w:r>
        <w:rPr>
          <w:rFonts w:ascii="微软雅黑" w:hAnsi="微软雅黑" w:eastAsia="微软雅黑"/>
          <w:b/>
          <w:bCs/>
          <w:sz w:val="24"/>
          <w:szCs w:val="24"/>
        </w:rPr>
        <w:t>企业施工组织设计和方案审核要点；重点审批施工方案；</w:t>
      </w:r>
    </w:p>
    <w:p>
      <w:pPr>
        <w:pStyle w:val="16"/>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搭建</w:t>
      </w:r>
      <w:r>
        <w:rPr>
          <w:rFonts w:ascii="微软雅黑" w:hAnsi="微软雅黑" w:eastAsia="微软雅黑"/>
          <w:b/>
          <w:bCs/>
          <w:sz w:val="24"/>
          <w:szCs w:val="24"/>
        </w:rPr>
        <w:t>样板间的七目的：出图</w:t>
      </w:r>
      <w:r>
        <w:rPr>
          <w:rFonts w:hint="eastAsia" w:ascii="微软雅黑" w:hAnsi="微软雅黑" w:eastAsia="微软雅黑"/>
          <w:b/>
          <w:bCs/>
          <w:sz w:val="24"/>
          <w:szCs w:val="24"/>
        </w:rPr>
        <w:t>/深化</w:t>
      </w:r>
      <w:r>
        <w:rPr>
          <w:rFonts w:ascii="微软雅黑" w:hAnsi="微软雅黑" w:eastAsia="微软雅黑"/>
          <w:b/>
          <w:bCs/>
          <w:sz w:val="24"/>
          <w:szCs w:val="24"/>
        </w:rPr>
        <w:t>设计</w:t>
      </w:r>
      <w:r>
        <w:rPr>
          <w:rFonts w:hint="eastAsia" w:ascii="微软雅黑" w:hAnsi="微软雅黑" w:eastAsia="微软雅黑"/>
          <w:b/>
          <w:bCs/>
          <w:sz w:val="24"/>
          <w:szCs w:val="24"/>
        </w:rPr>
        <w:t>/限额</w:t>
      </w:r>
      <w:r>
        <w:rPr>
          <w:rFonts w:ascii="微软雅黑" w:hAnsi="微软雅黑" w:eastAsia="微软雅黑"/>
          <w:b/>
          <w:bCs/>
          <w:sz w:val="24"/>
          <w:szCs w:val="24"/>
        </w:rPr>
        <w:t>设计</w:t>
      </w:r>
      <w:r>
        <w:rPr>
          <w:rFonts w:hint="eastAsia" w:ascii="微软雅黑" w:hAnsi="微软雅黑" w:eastAsia="微软雅黑"/>
          <w:b/>
          <w:bCs/>
          <w:sz w:val="24"/>
          <w:szCs w:val="24"/>
        </w:rPr>
        <w:t>/审图/设计</w:t>
      </w:r>
      <w:r>
        <w:rPr>
          <w:rFonts w:ascii="微软雅黑" w:hAnsi="微软雅黑" w:eastAsia="微软雅黑"/>
          <w:b/>
          <w:bCs/>
          <w:sz w:val="24"/>
          <w:szCs w:val="24"/>
        </w:rPr>
        <w:t>优化</w:t>
      </w:r>
      <w:r>
        <w:rPr>
          <w:rFonts w:hint="eastAsia" w:ascii="微软雅黑" w:hAnsi="微软雅黑" w:eastAsia="微软雅黑"/>
          <w:b/>
          <w:bCs/>
          <w:sz w:val="24"/>
          <w:szCs w:val="24"/>
        </w:rPr>
        <w:t>/标准</w:t>
      </w:r>
      <w:r>
        <w:rPr>
          <w:rFonts w:ascii="微软雅黑" w:hAnsi="微软雅黑" w:eastAsia="微软雅黑"/>
          <w:b/>
          <w:bCs/>
          <w:sz w:val="24"/>
          <w:szCs w:val="24"/>
        </w:rPr>
        <w:t>可视化</w:t>
      </w:r>
      <w:r>
        <w:rPr>
          <w:rFonts w:hint="eastAsia" w:ascii="微软雅黑" w:hAnsi="微软雅黑" w:eastAsia="微软雅黑"/>
          <w:b/>
          <w:bCs/>
          <w:sz w:val="24"/>
          <w:szCs w:val="24"/>
        </w:rPr>
        <w:t>/行销</w:t>
      </w:r>
    </w:p>
    <w:p>
      <w:pPr>
        <w:pStyle w:val="16"/>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四个</w:t>
      </w:r>
      <w:r>
        <w:rPr>
          <w:rFonts w:ascii="微软雅黑" w:hAnsi="微软雅黑" w:eastAsia="微软雅黑"/>
          <w:b/>
          <w:bCs/>
          <w:sz w:val="24"/>
          <w:szCs w:val="24"/>
        </w:rPr>
        <w:t>样板间类别和作用</w:t>
      </w:r>
      <w:r>
        <w:rPr>
          <w:rFonts w:hint="eastAsia" w:ascii="微软雅黑" w:hAnsi="微软雅黑" w:eastAsia="微软雅黑"/>
          <w:b/>
          <w:bCs/>
          <w:sz w:val="24"/>
          <w:szCs w:val="24"/>
        </w:rPr>
        <w:t>：</w:t>
      </w:r>
      <w:r>
        <w:rPr>
          <w:rFonts w:ascii="微软雅黑" w:hAnsi="微软雅黑" w:eastAsia="微软雅黑"/>
          <w:b/>
          <w:bCs/>
          <w:sz w:val="24"/>
          <w:szCs w:val="24"/>
        </w:rPr>
        <w:t>设计体验样板间</w:t>
      </w:r>
      <w:r>
        <w:rPr>
          <w:rFonts w:hint="eastAsia" w:ascii="微软雅黑" w:hAnsi="微软雅黑" w:eastAsia="微软雅黑"/>
          <w:b/>
          <w:bCs/>
          <w:sz w:val="24"/>
          <w:szCs w:val="24"/>
        </w:rPr>
        <w:t>/材料</w:t>
      </w:r>
      <w:r>
        <w:rPr>
          <w:rFonts w:ascii="微软雅黑" w:hAnsi="微软雅黑" w:eastAsia="微软雅黑"/>
          <w:b/>
          <w:bCs/>
          <w:sz w:val="24"/>
          <w:szCs w:val="24"/>
        </w:rPr>
        <w:t>部品样板间</w:t>
      </w:r>
      <w:r>
        <w:rPr>
          <w:rFonts w:hint="eastAsia" w:ascii="微软雅黑" w:hAnsi="微软雅黑" w:eastAsia="微软雅黑"/>
          <w:b/>
          <w:bCs/>
          <w:sz w:val="24"/>
          <w:szCs w:val="24"/>
        </w:rPr>
        <w:t>/交付</w:t>
      </w:r>
      <w:r>
        <w:rPr>
          <w:rFonts w:ascii="微软雅黑" w:hAnsi="微软雅黑" w:eastAsia="微软雅黑"/>
          <w:b/>
          <w:bCs/>
          <w:sz w:val="24"/>
          <w:szCs w:val="24"/>
        </w:rPr>
        <w:t>标准样板间</w:t>
      </w:r>
      <w:r>
        <w:rPr>
          <w:rFonts w:hint="eastAsia" w:ascii="微软雅黑" w:hAnsi="微软雅黑" w:eastAsia="微软雅黑"/>
          <w:b/>
          <w:bCs/>
          <w:sz w:val="24"/>
          <w:szCs w:val="24"/>
        </w:rPr>
        <w:t>/施工</w:t>
      </w:r>
      <w:r>
        <w:rPr>
          <w:rFonts w:ascii="微软雅黑" w:hAnsi="微软雅黑" w:eastAsia="微软雅黑"/>
          <w:b/>
          <w:bCs/>
          <w:sz w:val="24"/>
          <w:szCs w:val="24"/>
        </w:rPr>
        <w:t>工艺样板间</w:t>
      </w:r>
    </w:p>
    <w:p>
      <w:pPr>
        <w:pStyle w:val="16"/>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：材料部品样板管理案例</w:t>
      </w:r>
      <w:r>
        <w:rPr>
          <w:rFonts w:hint="eastAsia" w:ascii="微软雅黑" w:hAnsi="微软雅黑" w:eastAsia="微软雅黑"/>
          <w:b/>
          <w:bCs/>
          <w:sz w:val="24"/>
          <w:szCs w:val="24"/>
        </w:rPr>
        <w:t>；技术标评标合格，门窗质量一定合格么？如何提高门窗技术标评标效果？</w:t>
      </w:r>
    </w:p>
    <w:p>
      <w:pPr>
        <w:pStyle w:val="16"/>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技术</w:t>
      </w:r>
      <w:r>
        <w:rPr>
          <w:rFonts w:ascii="微软雅黑" w:hAnsi="微软雅黑" w:eastAsia="微软雅黑"/>
          <w:b/>
          <w:bCs/>
          <w:sz w:val="24"/>
          <w:szCs w:val="24"/>
        </w:rPr>
        <w:t>管控要点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预控设计构造配置/最佳实践、缺陷反馈/标准化施工图集/高效召开工程会议/预控各项技术交底/施组方案一致性/三个样板间先行</w:t>
      </w:r>
    </w:p>
    <w:p>
      <w:pPr>
        <w:pStyle w:val="16"/>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第四部分：工程供方管理</w:t>
      </w:r>
    </w:p>
    <w:p>
      <w:pPr>
        <w:pStyle w:val="16"/>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供方合作模式分析；房企</w:t>
      </w:r>
      <w:r>
        <w:rPr>
          <w:rFonts w:ascii="微软雅黑" w:hAnsi="微软雅黑" w:eastAsia="微软雅黑"/>
          <w:b/>
          <w:sz w:val="24"/>
          <w:szCs w:val="24"/>
        </w:rPr>
        <w:t>与供方合作关系：领导关系</w:t>
      </w:r>
      <w:r>
        <w:rPr>
          <w:rFonts w:hint="eastAsia" w:ascii="微软雅黑" w:hAnsi="微软雅黑" w:eastAsia="微软雅黑"/>
          <w:b/>
          <w:sz w:val="24"/>
          <w:szCs w:val="24"/>
        </w:rPr>
        <w:t>/长期</w:t>
      </w:r>
      <w:r>
        <w:rPr>
          <w:rFonts w:ascii="微软雅黑" w:hAnsi="微软雅黑" w:eastAsia="微软雅黑"/>
          <w:b/>
          <w:sz w:val="24"/>
          <w:szCs w:val="24"/>
        </w:rPr>
        <w:t>战略合作战略</w:t>
      </w:r>
      <w:r>
        <w:rPr>
          <w:rFonts w:hint="eastAsia" w:ascii="微软雅黑" w:hAnsi="微软雅黑" w:eastAsia="微软雅黑"/>
          <w:b/>
          <w:sz w:val="24"/>
          <w:szCs w:val="24"/>
        </w:rPr>
        <w:t>/真公开</w:t>
      </w:r>
      <w:r>
        <w:rPr>
          <w:rFonts w:ascii="微软雅黑" w:hAnsi="微软雅黑" w:eastAsia="微软雅黑"/>
          <w:b/>
          <w:sz w:val="24"/>
          <w:szCs w:val="24"/>
        </w:rPr>
        <w:t>招投标</w:t>
      </w:r>
      <w:r>
        <w:rPr>
          <w:rFonts w:hint="eastAsia" w:ascii="微软雅黑" w:hAnsi="微软雅黑" w:eastAsia="微软雅黑"/>
          <w:b/>
          <w:sz w:val="24"/>
          <w:szCs w:val="24"/>
        </w:rPr>
        <w:t>/假公开招投标/政府</w:t>
      </w:r>
      <w:r>
        <w:rPr>
          <w:rFonts w:ascii="微软雅黑" w:hAnsi="微软雅黑" w:eastAsia="微软雅黑"/>
          <w:b/>
          <w:sz w:val="24"/>
          <w:szCs w:val="24"/>
        </w:rPr>
        <w:t>关系强压</w:t>
      </w:r>
    </w:p>
    <w:p>
      <w:pPr>
        <w:pStyle w:val="16"/>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甲方看供方；纠缠不清/躲避新指令/拒不执行/退出去/刁难指定供方</w:t>
      </w:r>
    </w:p>
    <w:p>
      <w:pPr>
        <w:pStyle w:val="16"/>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供方看甲方；工程量清单不清/指令不清/反复变更/无法兑现承诺/人材机成本缺失/照管协调不到位；</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例题：工程量</w:t>
      </w:r>
      <w:r>
        <w:rPr>
          <w:rFonts w:ascii="微软雅黑" w:hAnsi="微软雅黑" w:eastAsia="微软雅黑" w:cs="微软雅黑"/>
          <w:b/>
          <w:sz w:val="24"/>
        </w:rPr>
        <w:t>清单不清案例分析</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例题：反复变更签证</w:t>
      </w:r>
      <w:r>
        <w:rPr>
          <w:rFonts w:ascii="微软雅黑" w:hAnsi="微软雅黑" w:eastAsia="微软雅黑" w:cs="微软雅黑"/>
          <w:b/>
          <w:sz w:val="24"/>
        </w:rPr>
        <w:t>案例分析</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：照管协调不到位案例分析</w:t>
      </w:r>
    </w:p>
    <w:p>
      <w:pPr>
        <w:pStyle w:val="16"/>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例题：供方</w:t>
      </w:r>
      <w:r>
        <w:rPr>
          <w:rFonts w:ascii="微软雅黑" w:hAnsi="微软雅黑" w:eastAsia="微软雅黑" w:cs="微软雅黑"/>
          <w:b/>
          <w:sz w:val="24"/>
        </w:rPr>
        <w:t>照管协调管理要求不到位案例分析</w:t>
      </w:r>
    </w:p>
    <w:p>
      <w:pPr>
        <w:pStyle w:val="16"/>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如何</w:t>
      </w:r>
      <w:r>
        <w:rPr>
          <w:rFonts w:ascii="微软雅黑" w:hAnsi="微软雅黑" w:eastAsia="微软雅黑"/>
          <w:b/>
          <w:sz w:val="24"/>
          <w:szCs w:val="24"/>
        </w:rPr>
        <w:t>让供方放心：充分沟通</w:t>
      </w:r>
      <w:r>
        <w:rPr>
          <w:rFonts w:hint="eastAsia" w:ascii="微软雅黑" w:hAnsi="微软雅黑" w:eastAsia="微软雅黑"/>
          <w:b/>
          <w:sz w:val="24"/>
          <w:szCs w:val="24"/>
        </w:rPr>
        <w:t>/标准</w:t>
      </w:r>
      <w:r>
        <w:rPr>
          <w:rFonts w:ascii="微软雅黑" w:hAnsi="微软雅黑" w:eastAsia="微软雅黑"/>
          <w:b/>
          <w:sz w:val="24"/>
          <w:szCs w:val="24"/>
        </w:rPr>
        <w:t>量化</w:t>
      </w:r>
      <w:r>
        <w:rPr>
          <w:rFonts w:hint="eastAsia" w:ascii="微软雅黑" w:hAnsi="微软雅黑" w:eastAsia="微软雅黑"/>
          <w:b/>
          <w:sz w:val="24"/>
          <w:szCs w:val="24"/>
        </w:rPr>
        <w:t>/合约</w:t>
      </w:r>
      <w:r>
        <w:rPr>
          <w:rFonts w:ascii="微软雅黑" w:hAnsi="微软雅黑" w:eastAsia="微软雅黑"/>
          <w:b/>
          <w:sz w:val="24"/>
          <w:szCs w:val="24"/>
        </w:rPr>
        <w:t>清晰</w:t>
      </w:r>
      <w:r>
        <w:rPr>
          <w:rFonts w:hint="eastAsia" w:ascii="微软雅黑" w:hAnsi="微软雅黑" w:eastAsia="微软雅黑"/>
          <w:b/>
          <w:sz w:val="24"/>
          <w:szCs w:val="24"/>
        </w:rPr>
        <w:t>/交代</w:t>
      </w:r>
      <w:r>
        <w:rPr>
          <w:rFonts w:ascii="微软雅黑" w:hAnsi="微软雅黑" w:eastAsia="微软雅黑"/>
          <w:b/>
          <w:sz w:val="24"/>
          <w:szCs w:val="24"/>
        </w:rPr>
        <w:t>到位</w:t>
      </w:r>
      <w:r>
        <w:rPr>
          <w:rFonts w:hint="eastAsia" w:ascii="微软雅黑" w:hAnsi="微软雅黑" w:eastAsia="微软雅黑"/>
          <w:b/>
          <w:sz w:val="24"/>
          <w:szCs w:val="24"/>
        </w:rPr>
        <w:t>/换位</w:t>
      </w:r>
      <w:r>
        <w:rPr>
          <w:rFonts w:ascii="微软雅黑" w:hAnsi="微软雅黑" w:eastAsia="微软雅黑"/>
          <w:b/>
          <w:sz w:val="24"/>
          <w:szCs w:val="24"/>
        </w:rPr>
        <w:t>思考</w:t>
      </w:r>
      <w:r>
        <w:rPr>
          <w:rFonts w:hint="eastAsia" w:ascii="微软雅黑" w:hAnsi="微软雅黑" w:eastAsia="微软雅黑"/>
          <w:b/>
          <w:sz w:val="24"/>
          <w:szCs w:val="24"/>
        </w:rPr>
        <w:t>/责权</w:t>
      </w:r>
      <w:r>
        <w:rPr>
          <w:rFonts w:ascii="微软雅黑" w:hAnsi="微软雅黑" w:eastAsia="微软雅黑"/>
          <w:b/>
          <w:sz w:val="24"/>
          <w:szCs w:val="24"/>
        </w:rPr>
        <w:t>对等；</w:t>
      </w:r>
    </w:p>
    <w:p>
      <w:pPr>
        <w:pStyle w:val="16"/>
        <w:numPr>
          <w:ilvl w:val="0"/>
          <w:numId w:val="8"/>
        </w:numPr>
        <w:ind w:firstLineChars="0"/>
        <w:jc w:val="left"/>
        <w:rPr>
          <w:rFonts w:ascii="微软雅黑" w:hAnsi="微软雅黑" w:eastAsia="微软雅黑"/>
          <w:b/>
          <w:sz w:val="24"/>
          <w:szCs w:val="24"/>
        </w:rPr>
      </w:pPr>
      <w:r>
        <w:rPr>
          <w:lang/>
        </w:rPr>
        <w:drawing>
          <wp:anchor distT="0" distB="0" distL="114300" distR="114300" simplePos="0" relativeHeight="251662336" behindDoc="1" locked="0" layoutInCell="1" allowOverlap="1">
            <wp:simplePos x="0" y="0"/>
            <wp:positionH relativeFrom="column">
              <wp:posOffset>6868160</wp:posOffset>
            </wp:positionH>
            <wp:positionV relativeFrom="paragraph">
              <wp:posOffset>349250</wp:posOffset>
            </wp:positionV>
            <wp:extent cx="3158490" cy="2723515"/>
            <wp:effectExtent l="0" t="0" r="11430" b="4445"/>
            <wp:wrapTight wrapText="bothSides">
              <wp:wrapPolygon>
                <wp:start x="8073" y="0"/>
                <wp:lineTo x="7636" y="253"/>
                <wp:lineTo x="7418" y="1011"/>
                <wp:lineTo x="7418" y="2021"/>
                <wp:lineTo x="4036" y="6063"/>
                <wp:lineTo x="764" y="6189"/>
                <wp:lineTo x="-109" y="6568"/>
                <wp:lineTo x="-109" y="10737"/>
                <wp:lineTo x="1745" y="12126"/>
                <wp:lineTo x="2509" y="12126"/>
                <wp:lineTo x="2836" y="14147"/>
                <wp:lineTo x="3600" y="16168"/>
                <wp:lineTo x="2945" y="16926"/>
                <wp:lineTo x="2727" y="17432"/>
                <wp:lineTo x="2727" y="20337"/>
                <wp:lineTo x="3164" y="21347"/>
                <wp:lineTo x="18109" y="21347"/>
                <wp:lineTo x="18218" y="21347"/>
                <wp:lineTo x="18545" y="20337"/>
                <wp:lineTo x="18655" y="17684"/>
                <wp:lineTo x="18327" y="16800"/>
                <wp:lineTo x="17782" y="16168"/>
                <wp:lineTo x="18436" y="14147"/>
                <wp:lineTo x="18764" y="12126"/>
                <wp:lineTo x="19636" y="12126"/>
                <wp:lineTo x="21491" y="10737"/>
                <wp:lineTo x="21600" y="6695"/>
                <wp:lineTo x="20509" y="6189"/>
                <wp:lineTo x="17345" y="6063"/>
                <wp:lineTo x="13964" y="2021"/>
                <wp:lineTo x="14073" y="1263"/>
                <wp:lineTo x="13745" y="253"/>
                <wp:lineTo x="13309" y="0"/>
                <wp:lineTo x="8073" y="0"/>
              </wp:wrapPolygon>
            </wp:wrapTight>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8"/>
                    <a:stretch>
                      <a:fillRect/>
                    </a:stretch>
                  </pic:blipFill>
                  <pic:spPr>
                    <a:xfrm>
                      <a:off x="0" y="0"/>
                      <a:ext cx="3158490" cy="2723515"/>
                    </a:xfrm>
                    <a:prstGeom prst="rect">
                      <a:avLst/>
                    </a:prstGeom>
                    <a:noFill/>
                    <a:ln>
                      <a:noFill/>
                    </a:ln>
                  </pic:spPr>
                </pic:pic>
              </a:graphicData>
            </a:graphic>
          </wp:anchor>
        </w:drawing>
      </w:r>
      <w:r>
        <w:rPr>
          <w:rFonts w:hint="eastAsia" w:ascii="微软雅黑" w:hAnsi="微软雅黑" w:eastAsia="微软雅黑"/>
          <w:b/>
          <w:sz w:val="24"/>
          <w:szCs w:val="24"/>
        </w:rPr>
        <w:t>发现</w:t>
      </w:r>
      <w:r>
        <w:rPr>
          <w:rFonts w:ascii="微软雅黑" w:hAnsi="微软雅黑" w:eastAsia="微软雅黑"/>
          <w:b/>
          <w:sz w:val="24"/>
          <w:szCs w:val="24"/>
        </w:rPr>
        <w:t>自身问题：发现自身问题</w:t>
      </w:r>
      <w:r>
        <w:rPr>
          <w:rFonts w:hint="eastAsia" w:ascii="微软雅黑" w:hAnsi="微软雅黑" w:eastAsia="微软雅黑"/>
          <w:b/>
          <w:sz w:val="24"/>
          <w:szCs w:val="24"/>
        </w:rPr>
        <w:t>/寻找</w:t>
      </w:r>
      <w:r>
        <w:rPr>
          <w:rFonts w:ascii="微软雅黑" w:hAnsi="微软雅黑" w:eastAsia="微软雅黑"/>
          <w:b/>
          <w:sz w:val="24"/>
          <w:szCs w:val="24"/>
        </w:rPr>
        <w:t>解决方案</w:t>
      </w:r>
      <w:r>
        <w:rPr>
          <w:rFonts w:hint="eastAsia" w:ascii="微软雅黑" w:hAnsi="微软雅黑" w:eastAsia="微软雅黑"/>
          <w:b/>
          <w:sz w:val="24"/>
          <w:szCs w:val="24"/>
        </w:rPr>
        <w:t>/固化</w:t>
      </w:r>
      <w:r>
        <w:rPr>
          <w:rFonts w:ascii="微软雅黑" w:hAnsi="微软雅黑" w:eastAsia="微软雅黑"/>
          <w:b/>
          <w:sz w:val="24"/>
          <w:szCs w:val="24"/>
        </w:rPr>
        <w:t>标准要求</w:t>
      </w:r>
      <w:r>
        <w:rPr>
          <w:rFonts w:hint="eastAsia" w:ascii="微软雅黑" w:hAnsi="微软雅黑" w:eastAsia="微软雅黑"/>
          <w:b/>
          <w:sz w:val="24"/>
          <w:szCs w:val="24"/>
        </w:rPr>
        <w:t>/提升</w:t>
      </w:r>
      <w:r>
        <w:rPr>
          <w:rFonts w:ascii="微软雅黑" w:hAnsi="微软雅黑" w:eastAsia="微软雅黑"/>
          <w:b/>
          <w:sz w:val="24"/>
          <w:szCs w:val="24"/>
        </w:rPr>
        <w:t>专业水平</w:t>
      </w:r>
      <w:r>
        <w:rPr>
          <w:rFonts w:hint="eastAsia" w:ascii="微软雅黑" w:hAnsi="微软雅黑" w:eastAsia="微软雅黑"/>
          <w:b/>
          <w:sz w:val="24"/>
          <w:szCs w:val="24"/>
        </w:rPr>
        <w:t>/放低</w:t>
      </w:r>
      <w:r>
        <w:rPr>
          <w:rFonts w:ascii="微软雅黑" w:hAnsi="微软雅黑" w:eastAsia="微软雅黑"/>
          <w:b/>
          <w:sz w:val="24"/>
          <w:szCs w:val="24"/>
        </w:rPr>
        <w:t>甲方姿态</w:t>
      </w:r>
      <w:r>
        <w:rPr>
          <w:rFonts w:hint="eastAsia" w:ascii="微软雅黑" w:hAnsi="微软雅黑" w:eastAsia="微软雅黑"/>
          <w:b/>
          <w:sz w:val="24"/>
          <w:szCs w:val="24"/>
        </w:rPr>
        <w:t>/加强</w:t>
      </w:r>
      <w:r>
        <w:rPr>
          <w:rFonts w:ascii="微软雅黑" w:hAnsi="微软雅黑" w:eastAsia="微软雅黑"/>
          <w:b/>
          <w:sz w:val="24"/>
          <w:szCs w:val="24"/>
        </w:rPr>
        <w:t>甲方协同</w:t>
      </w:r>
      <w:r>
        <w:rPr>
          <w:rFonts w:hint="eastAsia" w:ascii="微软雅黑" w:hAnsi="微软雅黑" w:eastAsia="微软雅黑"/>
          <w:b/>
          <w:sz w:val="24"/>
          <w:szCs w:val="24"/>
        </w:rPr>
        <w:t>；</w:t>
      </w:r>
    </w:p>
    <w:p>
      <w:pPr>
        <w:pStyle w:val="16"/>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供方索赔策略和甲方反索赔</w:t>
      </w:r>
      <w:r>
        <w:rPr>
          <w:rFonts w:ascii="微软雅黑" w:hAnsi="微软雅黑" w:eastAsia="微软雅黑"/>
          <w:b/>
          <w:sz w:val="24"/>
          <w:szCs w:val="24"/>
        </w:rPr>
        <w:t>策略</w:t>
      </w:r>
      <w:r>
        <w:rPr>
          <w:rFonts w:hint="eastAsia" w:ascii="微软雅黑" w:hAnsi="微软雅黑" w:eastAsia="微软雅黑"/>
          <w:b/>
          <w:sz w:val="24"/>
          <w:szCs w:val="24"/>
        </w:rPr>
        <w:t>：</w:t>
      </w:r>
      <w:r>
        <w:rPr>
          <w:rFonts w:ascii="微软雅黑" w:hAnsi="微软雅黑" w:eastAsia="微软雅黑"/>
          <w:b/>
          <w:sz w:val="24"/>
          <w:szCs w:val="24"/>
        </w:rPr>
        <w:t>报价</w:t>
      </w:r>
      <w:r>
        <w:rPr>
          <w:rFonts w:hint="eastAsia" w:ascii="微软雅黑" w:hAnsi="微软雅黑" w:eastAsia="微软雅黑"/>
          <w:b/>
          <w:sz w:val="24"/>
          <w:szCs w:val="24"/>
        </w:rPr>
        <w:t>/风险</w:t>
      </w:r>
      <w:r>
        <w:rPr>
          <w:rFonts w:ascii="微软雅黑" w:hAnsi="微软雅黑" w:eastAsia="微软雅黑"/>
          <w:b/>
          <w:sz w:val="24"/>
          <w:szCs w:val="24"/>
        </w:rPr>
        <w:t>预防</w:t>
      </w:r>
      <w:r>
        <w:rPr>
          <w:rFonts w:hint="eastAsia" w:ascii="微软雅黑" w:hAnsi="微软雅黑" w:eastAsia="微软雅黑"/>
          <w:b/>
          <w:sz w:val="24"/>
          <w:szCs w:val="24"/>
        </w:rPr>
        <w:t>/深化</w:t>
      </w:r>
      <w:r>
        <w:rPr>
          <w:rFonts w:ascii="微软雅黑" w:hAnsi="微软雅黑" w:eastAsia="微软雅黑"/>
          <w:b/>
          <w:sz w:val="24"/>
          <w:szCs w:val="24"/>
        </w:rPr>
        <w:t>设计</w:t>
      </w:r>
      <w:r>
        <w:rPr>
          <w:rFonts w:hint="eastAsia" w:ascii="微软雅黑" w:hAnsi="微软雅黑" w:eastAsia="微软雅黑"/>
          <w:b/>
          <w:sz w:val="24"/>
          <w:szCs w:val="24"/>
        </w:rPr>
        <w:t>/洽商</w:t>
      </w:r>
      <w:r>
        <w:rPr>
          <w:rFonts w:ascii="微软雅黑" w:hAnsi="微软雅黑" w:eastAsia="微软雅黑"/>
          <w:b/>
          <w:sz w:val="24"/>
          <w:szCs w:val="24"/>
        </w:rPr>
        <w:t>签证</w:t>
      </w:r>
      <w:r>
        <w:rPr>
          <w:rFonts w:hint="eastAsia" w:ascii="微软雅黑" w:hAnsi="微软雅黑" w:eastAsia="微软雅黑"/>
          <w:b/>
          <w:sz w:val="24"/>
          <w:szCs w:val="24"/>
        </w:rPr>
        <w:t>/结算</w:t>
      </w:r>
    </w:p>
    <w:p>
      <w:pPr>
        <w:pStyle w:val="16"/>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：不平衡报价案例分析</w:t>
      </w:r>
    </w:p>
    <w:p>
      <w:pPr>
        <w:pStyle w:val="16"/>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现场</w:t>
      </w:r>
      <w:r>
        <w:rPr>
          <w:rFonts w:ascii="微软雅黑" w:hAnsi="微软雅黑" w:eastAsia="微软雅黑"/>
          <w:b/>
          <w:sz w:val="24"/>
          <w:szCs w:val="24"/>
        </w:rPr>
        <w:t>签证案例分析</w:t>
      </w:r>
    </w:p>
    <w:p>
      <w:pPr>
        <w:pStyle w:val="16"/>
        <w:numPr>
          <w:ilvl w:val="0"/>
          <w:numId w:val="10"/>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变更洽商</w:t>
      </w:r>
      <w:r>
        <w:rPr>
          <w:rFonts w:ascii="微软雅黑" w:hAnsi="微软雅黑" w:eastAsia="微软雅黑"/>
          <w:b/>
          <w:sz w:val="24"/>
          <w:szCs w:val="24"/>
        </w:rPr>
        <w:t>签证</w:t>
      </w:r>
      <w:r>
        <w:rPr>
          <w:rFonts w:hint="eastAsia" w:ascii="微软雅黑" w:hAnsi="微软雅黑" w:eastAsia="微软雅黑"/>
          <w:b/>
          <w:sz w:val="24"/>
          <w:szCs w:val="24"/>
        </w:rPr>
        <w:t>反索赔</w:t>
      </w:r>
      <w:r>
        <w:rPr>
          <w:rFonts w:ascii="微软雅黑" w:hAnsi="微软雅黑" w:eastAsia="微软雅黑"/>
          <w:b/>
          <w:sz w:val="24"/>
          <w:szCs w:val="24"/>
        </w:rPr>
        <w:t>案例分析</w:t>
      </w:r>
    </w:p>
    <w:p>
      <w:pPr>
        <w:pStyle w:val="16"/>
        <w:numPr>
          <w:ilvl w:val="0"/>
          <w:numId w:val="10"/>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深化设计反索赔</w:t>
      </w:r>
      <w:r>
        <w:rPr>
          <w:rFonts w:ascii="微软雅黑" w:hAnsi="微软雅黑" w:eastAsia="微软雅黑"/>
          <w:b/>
          <w:sz w:val="24"/>
          <w:szCs w:val="24"/>
        </w:rPr>
        <w:t>案例分析</w:t>
      </w:r>
    </w:p>
    <w:p>
      <w:pPr>
        <w:pStyle w:val="16"/>
        <w:numPr>
          <w:ilvl w:val="0"/>
          <w:numId w:val="10"/>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战略合作反索赔</w:t>
      </w:r>
      <w:r>
        <w:rPr>
          <w:rFonts w:ascii="微软雅黑" w:hAnsi="微软雅黑" w:eastAsia="微软雅黑"/>
          <w:b/>
          <w:sz w:val="24"/>
          <w:szCs w:val="24"/>
        </w:rPr>
        <w:t>案例分析</w:t>
      </w:r>
    </w:p>
    <w:p>
      <w:pPr>
        <w:pStyle w:val="16"/>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供方管理总结：事前</w:t>
      </w:r>
      <w:r>
        <w:rPr>
          <w:rFonts w:ascii="微软雅黑" w:hAnsi="微软雅黑" w:eastAsia="微软雅黑"/>
          <w:b/>
          <w:sz w:val="24"/>
          <w:szCs w:val="24"/>
        </w:rPr>
        <w:t>、</w:t>
      </w:r>
      <w:r>
        <w:rPr>
          <w:rFonts w:hint="eastAsia" w:ascii="微软雅黑" w:hAnsi="微软雅黑" w:eastAsia="微软雅黑"/>
          <w:b/>
          <w:sz w:val="24"/>
          <w:szCs w:val="24"/>
        </w:rPr>
        <w:t>事</w:t>
      </w:r>
      <w:r>
        <w:rPr>
          <w:rFonts w:ascii="微软雅黑" w:hAnsi="微软雅黑" w:eastAsia="微软雅黑"/>
          <w:b/>
          <w:sz w:val="24"/>
          <w:szCs w:val="24"/>
        </w:rPr>
        <w:t>中、事后；</w:t>
      </w:r>
      <w:r>
        <w:rPr>
          <w:rFonts w:hint="eastAsia" w:ascii="微软雅黑" w:hAnsi="微软雅黑" w:eastAsia="微软雅黑"/>
          <w:b/>
          <w:sz w:val="24"/>
          <w:szCs w:val="24"/>
        </w:rPr>
        <w:t>明确各方责权利/同理心/利益共同体/战略合作关系；</w:t>
      </w:r>
    </w:p>
    <w:p>
      <w:pPr>
        <w:pStyle w:val="16"/>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第五部分：工程质量管理</w:t>
      </w:r>
    </w:p>
    <w:p>
      <w:pPr>
        <w:pStyle w:val="16"/>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质量策划框架：资料会议策划</w:t>
      </w:r>
      <w:r>
        <w:rPr>
          <w:rFonts w:hint="eastAsia" w:ascii="微软雅黑" w:hAnsi="微软雅黑" w:eastAsia="微软雅黑"/>
          <w:b/>
          <w:bCs/>
          <w:sz w:val="24"/>
          <w:szCs w:val="24"/>
        </w:rPr>
        <w:t>/现场</w:t>
      </w:r>
      <w:r>
        <w:rPr>
          <w:rFonts w:ascii="微软雅黑" w:hAnsi="微软雅黑" w:eastAsia="微软雅黑"/>
          <w:b/>
          <w:bCs/>
          <w:sz w:val="24"/>
          <w:szCs w:val="24"/>
        </w:rPr>
        <w:t>管理策划</w:t>
      </w:r>
      <w:r>
        <w:rPr>
          <w:rFonts w:hint="eastAsia" w:ascii="微软雅黑" w:hAnsi="微软雅黑" w:eastAsia="微软雅黑"/>
          <w:b/>
          <w:bCs/>
          <w:sz w:val="24"/>
          <w:szCs w:val="24"/>
        </w:rPr>
        <w:t>/供方</w:t>
      </w:r>
      <w:r>
        <w:rPr>
          <w:rFonts w:ascii="微软雅黑" w:hAnsi="微软雅黑" w:eastAsia="微软雅黑"/>
          <w:b/>
          <w:bCs/>
          <w:sz w:val="24"/>
          <w:szCs w:val="24"/>
        </w:rPr>
        <w:t>管理策划</w:t>
      </w:r>
      <w:r>
        <w:rPr>
          <w:rFonts w:hint="eastAsia" w:ascii="微软雅黑" w:hAnsi="微软雅黑" w:eastAsia="微软雅黑"/>
          <w:b/>
          <w:bCs/>
          <w:sz w:val="24"/>
          <w:szCs w:val="24"/>
        </w:rPr>
        <w:t>/交付</w:t>
      </w:r>
      <w:r>
        <w:rPr>
          <w:rFonts w:ascii="微软雅黑" w:hAnsi="微软雅黑" w:eastAsia="微软雅黑"/>
          <w:b/>
          <w:bCs/>
          <w:sz w:val="24"/>
          <w:szCs w:val="24"/>
        </w:rPr>
        <w:t>管理策划</w:t>
      </w:r>
    </w:p>
    <w:p>
      <w:pPr>
        <w:pStyle w:val="16"/>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质量检查目的：质量检查评估</w:t>
      </w:r>
      <w:r>
        <w:rPr>
          <w:rFonts w:hint="eastAsia" w:ascii="微软雅黑" w:hAnsi="微软雅黑" w:eastAsia="微软雅黑"/>
          <w:b/>
          <w:bCs/>
          <w:sz w:val="24"/>
          <w:szCs w:val="24"/>
        </w:rPr>
        <w:t>/预警</w:t>
      </w:r>
      <w:r>
        <w:rPr>
          <w:rFonts w:ascii="微软雅黑" w:hAnsi="微软雅黑" w:eastAsia="微软雅黑"/>
          <w:b/>
          <w:bCs/>
          <w:sz w:val="24"/>
          <w:szCs w:val="24"/>
        </w:rPr>
        <w:t>纠正改进偏差</w:t>
      </w:r>
      <w:r>
        <w:rPr>
          <w:rFonts w:hint="eastAsia" w:ascii="微软雅黑" w:hAnsi="微软雅黑" w:eastAsia="微软雅黑"/>
          <w:b/>
          <w:bCs/>
          <w:sz w:val="24"/>
          <w:szCs w:val="24"/>
        </w:rPr>
        <w:t>/规范</w:t>
      </w:r>
      <w:r>
        <w:rPr>
          <w:rFonts w:ascii="微软雅黑" w:hAnsi="微软雅黑" w:eastAsia="微软雅黑"/>
          <w:b/>
          <w:bCs/>
          <w:sz w:val="24"/>
          <w:szCs w:val="24"/>
        </w:rPr>
        <w:t>工程管理</w:t>
      </w:r>
      <w:r>
        <w:rPr>
          <w:rFonts w:hint="eastAsia" w:ascii="微软雅黑" w:hAnsi="微软雅黑" w:eastAsia="微软雅黑"/>
          <w:b/>
          <w:bCs/>
          <w:sz w:val="24"/>
          <w:szCs w:val="24"/>
        </w:rPr>
        <w:t>行为/促进体系</w:t>
      </w:r>
      <w:r>
        <w:rPr>
          <w:rFonts w:ascii="微软雅黑" w:hAnsi="微软雅黑" w:eastAsia="微软雅黑"/>
          <w:b/>
          <w:bCs/>
          <w:sz w:val="24"/>
          <w:szCs w:val="24"/>
        </w:rPr>
        <w:t>有效运作</w:t>
      </w:r>
      <w:r>
        <w:rPr>
          <w:rFonts w:hint="eastAsia" w:ascii="微软雅黑" w:hAnsi="微软雅黑" w:eastAsia="微软雅黑"/>
          <w:b/>
          <w:bCs/>
          <w:sz w:val="24"/>
          <w:szCs w:val="24"/>
        </w:rPr>
        <w:t>/提高</w:t>
      </w:r>
      <w:r>
        <w:rPr>
          <w:rFonts w:ascii="微软雅黑" w:hAnsi="微软雅黑" w:eastAsia="微软雅黑"/>
          <w:b/>
          <w:bCs/>
          <w:sz w:val="24"/>
          <w:szCs w:val="24"/>
        </w:rPr>
        <w:t>水平品质</w:t>
      </w:r>
    </w:p>
    <w:p>
      <w:pPr>
        <w:pStyle w:val="16"/>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检查要求和频次</w:t>
      </w:r>
      <w:r>
        <w:rPr>
          <w:rFonts w:hint="eastAsia" w:ascii="微软雅黑" w:hAnsi="微软雅黑" w:eastAsia="微软雅黑"/>
          <w:b/>
          <w:bCs/>
          <w:sz w:val="24"/>
          <w:szCs w:val="24"/>
        </w:rPr>
        <w:t>；</w:t>
      </w:r>
    </w:p>
    <w:p>
      <w:pPr>
        <w:pStyle w:val="16"/>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案例：标杆地产</w:t>
      </w:r>
      <w:r>
        <w:rPr>
          <w:rFonts w:ascii="微软雅黑" w:hAnsi="微软雅黑" w:eastAsia="微软雅黑"/>
          <w:b/>
          <w:bCs/>
          <w:sz w:val="24"/>
          <w:szCs w:val="24"/>
        </w:rPr>
        <w:t>工程检查权重分析</w:t>
      </w:r>
      <w:r>
        <w:rPr>
          <w:rFonts w:hint="eastAsia" w:ascii="微软雅黑" w:hAnsi="微软雅黑" w:eastAsia="微软雅黑"/>
          <w:b/>
          <w:bCs/>
          <w:sz w:val="24"/>
          <w:szCs w:val="24"/>
        </w:rPr>
        <w:t>-18年</w:t>
      </w:r>
      <w:r>
        <w:rPr>
          <w:rFonts w:ascii="微软雅黑" w:hAnsi="微软雅黑" w:eastAsia="微软雅黑"/>
          <w:b/>
          <w:bCs/>
          <w:sz w:val="24"/>
          <w:szCs w:val="24"/>
        </w:rPr>
        <w:t>体系与</w:t>
      </w:r>
      <w:r>
        <w:rPr>
          <w:rFonts w:hint="eastAsia" w:ascii="微软雅黑" w:hAnsi="微软雅黑" w:eastAsia="微软雅黑"/>
          <w:b/>
          <w:bCs/>
          <w:sz w:val="24"/>
          <w:szCs w:val="24"/>
        </w:rPr>
        <w:t>20年</w:t>
      </w:r>
      <w:r>
        <w:rPr>
          <w:rFonts w:ascii="微软雅黑" w:hAnsi="微软雅黑" w:eastAsia="微软雅黑"/>
          <w:b/>
          <w:bCs/>
          <w:sz w:val="24"/>
          <w:szCs w:val="24"/>
        </w:rPr>
        <w:t>体系</w:t>
      </w:r>
      <w:r>
        <w:rPr>
          <w:rFonts w:hint="eastAsia" w:ascii="微软雅黑" w:hAnsi="微软雅黑" w:eastAsia="微软雅黑"/>
          <w:b/>
          <w:bCs/>
          <w:sz w:val="24"/>
          <w:szCs w:val="24"/>
        </w:rPr>
        <w:t>；标准</w:t>
      </w:r>
      <w:r>
        <w:rPr>
          <w:rFonts w:ascii="微软雅黑" w:hAnsi="微软雅黑" w:eastAsia="微软雅黑"/>
          <w:b/>
          <w:bCs/>
          <w:sz w:val="24"/>
          <w:szCs w:val="24"/>
        </w:rPr>
        <w:t>旧版和新版变化对比-实测实量测区的改变</w:t>
      </w:r>
      <w:r>
        <w:rPr>
          <w:rFonts w:hint="eastAsia" w:ascii="微软雅黑" w:hAnsi="微软雅黑" w:eastAsia="微软雅黑"/>
          <w:b/>
          <w:bCs/>
          <w:sz w:val="24"/>
          <w:szCs w:val="24"/>
        </w:rPr>
        <w:t>；</w:t>
      </w:r>
      <w:r>
        <w:rPr>
          <w:rFonts w:ascii="微软雅黑" w:hAnsi="微软雅黑" w:eastAsia="微软雅黑"/>
          <w:b/>
          <w:bCs/>
          <w:sz w:val="24"/>
          <w:szCs w:val="24"/>
        </w:rPr>
        <w:t>抽样取样范围及检测项</w:t>
      </w:r>
      <w:r>
        <w:rPr>
          <w:rFonts w:hint="eastAsia" w:ascii="微软雅黑" w:hAnsi="微软雅黑" w:eastAsia="微软雅黑"/>
          <w:b/>
          <w:bCs/>
          <w:sz w:val="24"/>
          <w:szCs w:val="24"/>
        </w:rPr>
        <w:t>；</w:t>
      </w:r>
    </w:p>
    <w:p>
      <w:pPr>
        <w:pStyle w:val="16"/>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w:t>
      </w:r>
      <w:r>
        <w:rPr>
          <w:rFonts w:ascii="微软雅黑" w:hAnsi="微软雅黑" w:eastAsia="微软雅黑"/>
          <w:b/>
          <w:bCs/>
          <w:sz w:val="24"/>
          <w:szCs w:val="24"/>
        </w:rPr>
        <w:t>：</w:t>
      </w:r>
      <w:r>
        <w:rPr>
          <w:rFonts w:hint="eastAsia" w:ascii="微软雅黑" w:hAnsi="微软雅黑" w:eastAsia="微软雅黑"/>
          <w:b/>
          <w:bCs/>
          <w:sz w:val="24"/>
          <w:szCs w:val="24"/>
        </w:rPr>
        <w:t>外门窗工程实测实量检查</w:t>
      </w:r>
      <w:r>
        <w:rPr>
          <w:rFonts w:ascii="微软雅黑" w:hAnsi="微软雅黑" w:eastAsia="微软雅黑"/>
          <w:b/>
          <w:bCs/>
          <w:sz w:val="24"/>
          <w:szCs w:val="24"/>
        </w:rPr>
        <w:t>标准</w:t>
      </w:r>
      <w:r>
        <w:rPr>
          <w:rFonts w:hint="eastAsia" w:ascii="微软雅黑" w:hAnsi="微软雅黑" w:eastAsia="微软雅黑"/>
          <w:b/>
          <w:bCs/>
          <w:sz w:val="24"/>
          <w:szCs w:val="24"/>
        </w:rPr>
        <w:t>示例；外门窗关键质量动作控制标准示例；</w:t>
      </w:r>
    </w:p>
    <w:p>
      <w:pPr>
        <w:pStyle w:val="16"/>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第三方</w:t>
      </w:r>
      <w:r>
        <w:rPr>
          <w:rFonts w:ascii="微软雅黑" w:hAnsi="微软雅黑" w:eastAsia="微软雅黑"/>
          <w:b/>
          <w:bCs/>
          <w:sz w:val="24"/>
          <w:szCs w:val="24"/>
        </w:rPr>
        <w:t>检验标准：标前</w:t>
      </w:r>
      <w:r>
        <w:rPr>
          <w:rFonts w:hint="eastAsia" w:ascii="微软雅黑" w:hAnsi="微软雅黑" w:eastAsia="微软雅黑"/>
          <w:b/>
          <w:bCs/>
          <w:sz w:val="24"/>
          <w:szCs w:val="24"/>
        </w:rPr>
        <w:t>/巡检</w:t>
      </w:r>
    </w:p>
    <w:p>
      <w:pPr>
        <w:pStyle w:val="16"/>
        <w:numPr>
          <w:ilvl w:val="0"/>
          <w:numId w:val="11"/>
        </w:numPr>
        <w:ind w:firstLineChars="0"/>
        <w:jc w:val="left"/>
        <w:rPr>
          <w:rFonts w:ascii="微软雅黑" w:hAnsi="微软雅黑" w:eastAsia="微软雅黑"/>
          <w:b/>
          <w:sz w:val="24"/>
          <w:szCs w:val="24"/>
        </w:rPr>
      </w:pPr>
      <w:r>
        <w:rPr>
          <w:rFonts w:hint="eastAsia" w:ascii="微软雅黑" w:hAnsi="微软雅黑" w:eastAsia="微软雅黑"/>
          <w:b/>
          <w:sz w:val="24"/>
          <w:szCs w:val="24"/>
        </w:rPr>
        <w:t>易</w:t>
      </w:r>
      <w:r>
        <w:rPr>
          <w:rFonts w:ascii="微软雅黑" w:hAnsi="微软雅黑" w:eastAsia="微软雅黑"/>
          <w:b/>
          <w:sz w:val="24"/>
          <w:szCs w:val="24"/>
        </w:rPr>
        <w:t>检性质量检查目的</w:t>
      </w:r>
      <w:r>
        <w:rPr>
          <w:rFonts w:hint="eastAsia" w:ascii="微软雅黑" w:hAnsi="微软雅黑" w:eastAsia="微软雅黑"/>
          <w:b/>
          <w:sz w:val="24"/>
          <w:szCs w:val="24"/>
        </w:rPr>
        <w:t>；</w:t>
      </w:r>
      <w:r>
        <w:rPr>
          <w:rFonts w:ascii="微软雅黑" w:hAnsi="微软雅黑" w:eastAsia="微软雅黑"/>
          <w:b/>
          <w:sz w:val="24"/>
          <w:szCs w:val="24"/>
        </w:rPr>
        <w:t>提高质量</w:t>
      </w:r>
      <w:r>
        <w:rPr>
          <w:rFonts w:hint="eastAsia" w:ascii="微软雅黑" w:hAnsi="微软雅黑" w:eastAsia="微软雅黑"/>
          <w:b/>
          <w:sz w:val="24"/>
          <w:szCs w:val="24"/>
        </w:rPr>
        <w:t>问题</w:t>
      </w:r>
      <w:r>
        <w:rPr>
          <w:rFonts w:ascii="微软雅黑" w:hAnsi="微软雅黑" w:eastAsia="微软雅黑"/>
          <w:b/>
          <w:sz w:val="24"/>
          <w:szCs w:val="24"/>
        </w:rPr>
        <w:t>易检性：容易发现问题</w:t>
      </w:r>
      <w:r>
        <w:rPr>
          <w:rFonts w:hint="eastAsia" w:ascii="微软雅黑" w:hAnsi="微软雅黑" w:eastAsia="微软雅黑"/>
          <w:b/>
          <w:sz w:val="24"/>
          <w:szCs w:val="24"/>
        </w:rPr>
        <w:t>/</w:t>
      </w:r>
      <w:r>
        <w:rPr>
          <w:rFonts w:hint="eastAsia" w:ascii="微软雅黑" w:hAnsi="微软雅黑" w:eastAsia="微软雅黑"/>
          <w:b/>
          <w:bCs/>
          <w:sz w:val="24"/>
          <w:szCs w:val="24"/>
        </w:rPr>
        <w:t>质量责任到人</w:t>
      </w:r>
      <w:r>
        <w:rPr>
          <w:rFonts w:hint="eastAsia" w:ascii="微软雅黑" w:hAnsi="微软雅黑" w:eastAsia="微软雅黑"/>
          <w:b/>
          <w:sz w:val="24"/>
          <w:szCs w:val="24"/>
        </w:rPr>
        <w:t>/</w:t>
      </w:r>
      <w:r>
        <w:rPr>
          <w:rFonts w:hint="eastAsia" w:ascii="微软雅黑" w:hAnsi="微软雅黑" w:eastAsia="微软雅黑"/>
          <w:b/>
          <w:sz w:val="24"/>
        </w:rPr>
        <w:t>质量责任到人</w:t>
      </w:r>
      <w:r>
        <w:rPr>
          <w:rFonts w:hint="eastAsia" w:ascii="微软雅黑" w:hAnsi="微软雅黑" w:eastAsia="微软雅黑"/>
          <w:b/>
          <w:sz w:val="24"/>
          <w:szCs w:val="24"/>
        </w:rPr>
        <w:t>/实现</w:t>
      </w:r>
      <w:r>
        <w:rPr>
          <w:rFonts w:ascii="微软雅黑" w:hAnsi="微软雅黑" w:eastAsia="微软雅黑"/>
          <w:b/>
          <w:sz w:val="24"/>
          <w:szCs w:val="24"/>
        </w:rPr>
        <w:t>一次做好</w:t>
      </w:r>
    </w:p>
    <w:p>
      <w:pPr>
        <w:pStyle w:val="16"/>
        <w:numPr>
          <w:ilvl w:val="0"/>
          <w:numId w:val="13"/>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案例：外窗洞口试验专项可靠性检验案例</w:t>
      </w:r>
    </w:p>
    <w:p>
      <w:pPr>
        <w:pStyle w:val="16"/>
        <w:numPr>
          <w:ilvl w:val="0"/>
          <w:numId w:val="13"/>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例题：外墙窗洞口防渗漏案例检验有效性判定</w:t>
      </w:r>
    </w:p>
    <w:p>
      <w:pPr>
        <w:pStyle w:val="16"/>
        <w:numPr>
          <w:ilvl w:val="0"/>
          <w:numId w:val="13"/>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易</w:t>
      </w:r>
      <w:r>
        <w:rPr>
          <w:rFonts w:ascii="微软雅黑" w:hAnsi="微软雅黑" w:eastAsia="微软雅黑"/>
          <w:b/>
          <w:sz w:val="24"/>
          <w:szCs w:val="24"/>
        </w:rPr>
        <w:t>检性质量检查现状</w:t>
      </w:r>
      <w:r>
        <w:rPr>
          <w:rFonts w:hint="eastAsia" w:ascii="微软雅黑" w:hAnsi="微软雅黑" w:eastAsia="微软雅黑"/>
          <w:b/>
          <w:sz w:val="24"/>
          <w:szCs w:val="24"/>
        </w:rPr>
        <w:t>案例</w:t>
      </w:r>
      <w:r>
        <w:rPr>
          <w:rFonts w:ascii="微软雅黑" w:hAnsi="微软雅黑" w:eastAsia="微软雅黑"/>
          <w:b/>
          <w:sz w:val="24"/>
          <w:szCs w:val="24"/>
        </w:rPr>
        <w:t>分析</w:t>
      </w:r>
      <w:r>
        <w:rPr>
          <w:rFonts w:hint="eastAsia" w:ascii="微软雅黑" w:hAnsi="微软雅黑" w:eastAsia="微软雅黑"/>
          <w:b/>
          <w:sz w:val="24"/>
          <w:szCs w:val="24"/>
        </w:rPr>
        <w:t>；</w:t>
      </w:r>
      <w:r>
        <w:rPr>
          <w:rFonts w:hint="eastAsia" w:ascii="微软雅黑" w:hAnsi="微软雅黑" w:eastAsia="微软雅黑"/>
          <w:b/>
          <w:bCs/>
          <w:sz w:val="24"/>
          <w:szCs w:val="24"/>
        </w:rPr>
        <w:t>如何在达标的同时控制无效成本支出？</w:t>
      </w:r>
    </w:p>
    <w:p>
      <w:pPr>
        <w:pStyle w:val="16"/>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幕墙安装要点；应急预案；安全基本管理；脚手架；安全带；安全用电；材料堆放装卸和清理；电焊安全；清洗安全；</w:t>
      </w:r>
    </w:p>
    <w:p>
      <w:pPr>
        <w:pStyle w:val="16"/>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第六部分：门窗幕墙新思路</w:t>
      </w:r>
    </w:p>
    <w:p>
      <w:pPr>
        <w:pStyle w:val="16"/>
        <w:numPr>
          <w:ilvl w:val="3"/>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门窗幕墙电动链式开窗器；雨感、风感、气压、温度、湿度、氧气浓度、二氧化碳浓度、烟感（</w:t>
      </w:r>
      <w:r>
        <w:rPr>
          <w:rFonts w:ascii="微软雅黑" w:hAnsi="微软雅黑" w:eastAsia="微软雅黑"/>
          <w:b/>
          <w:bCs/>
          <w:sz w:val="24"/>
          <w:szCs w:val="24"/>
        </w:rPr>
        <w:t>PM2.5</w:t>
      </w:r>
      <w:r>
        <w:rPr>
          <w:rFonts w:hint="eastAsia" w:ascii="微软雅黑" w:hAnsi="微软雅黑" w:eastAsia="微软雅黑"/>
          <w:b/>
          <w:bCs/>
          <w:sz w:val="24"/>
          <w:szCs w:val="24"/>
        </w:rPr>
        <w:t>）、玻璃破碎、报警传感器；</w:t>
      </w:r>
    </w:p>
    <w:p>
      <w:pPr>
        <w:pStyle w:val="16"/>
        <w:numPr>
          <w:ilvl w:val="3"/>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门窗幕墙窗式通风器；改性溶菌酶涂层；</w:t>
      </w:r>
    </w:p>
    <w:p>
      <w:pPr>
        <w:pStyle w:val="16"/>
        <w:numPr>
          <w:ilvl w:val="3"/>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门窗幕墙周边；</w:t>
      </w:r>
    </w:p>
    <w:p>
      <w:pPr>
        <w:pStyle w:val="16"/>
        <w:numPr>
          <w:ilvl w:val="3"/>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幕墙层间节点及改进建议；</w:t>
      </w:r>
    </w:p>
    <w:p>
      <w:pPr>
        <w:pStyle w:val="16"/>
        <w:numPr>
          <w:ilvl w:val="3"/>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无接触门窗系统；门禁一脸通系统；人脸识别测温一体机；自动单元门；自动入户门；</w:t>
      </w:r>
      <w:r>
        <w:rPr>
          <w:rFonts w:ascii="微软雅黑" w:hAnsi="微软雅黑" w:eastAsia="微软雅黑"/>
          <w:b/>
          <w:bCs/>
          <w:sz w:val="24"/>
          <w:szCs w:val="24"/>
        </w:rPr>
        <w:t xml:space="preserve"> </w:t>
      </w:r>
    </w:p>
    <w:p>
      <w:pPr>
        <w:pStyle w:val="16"/>
        <w:numPr>
          <w:ilvl w:val="3"/>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表面涂层改进建议；产品表面溶菌酶涂层；</w:t>
      </w:r>
    </w:p>
    <w:p>
      <w:pPr>
        <w:pStyle w:val="16"/>
        <w:numPr>
          <w:ilvl w:val="3"/>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智能化生产</w:t>
      </w:r>
    </w:p>
    <w:p>
      <w:pPr>
        <w:spacing w:line="480" w:lineRule="exact"/>
        <w:rPr>
          <w:rFonts w:ascii="微软雅黑" w:hAnsi="微软雅黑" w:eastAsia="微软雅黑" w:cs="微软雅黑"/>
          <w:color w:val="800000"/>
          <w:sz w:val="24"/>
        </w:rPr>
      </w:pPr>
    </w:p>
    <w:p>
      <w:pPr>
        <w:spacing w:line="480" w:lineRule="exact"/>
        <w:rPr>
          <w:rFonts w:ascii="微软雅黑" w:hAnsi="微软雅黑" w:eastAsia="微软雅黑" w:cs="微软雅黑"/>
          <w:color w:val="800000"/>
          <w:sz w:val="24"/>
        </w:rPr>
      </w:pPr>
    </w:p>
    <w:p>
      <w:pPr>
        <w:spacing w:line="480" w:lineRule="exact"/>
        <w:rPr>
          <w:rFonts w:ascii="微软雅黑" w:hAnsi="微软雅黑" w:eastAsia="微软雅黑"/>
          <w:b/>
          <w:color w:val="000000"/>
          <w:sz w:val="24"/>
        </w:rPr>
      </w:pPr>
      <w:r>
        <w:rPr>
          <w:rFonts w:hint="eastAsia" w:ascii="微软雅黑" w:hAnsi="微软雅黑" w:eastAsia="微软雅黑"/>
          <w:b/>
          <w:color w:val="000000"/>
          <w:sz w:val="24"/>
        </w:rPr>
        <w:t>目前市面上的单位成本一定的铝合金门窗现场实测合格率能达到多少？</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如何在门窗幕墙成本不变的条件下做到70年不漏水？</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如何在门窗单位成本不变总成本降低的前提下改善客户投诉数据？</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如何在门窗单位成本不变总成本不变的前提下改善客户投诉数据？</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门窗幕墙材料配置性能需求和价值分析；哪些是可以优化的成本？哪些是必须花费的成本？哪些必须做设计限额条件？</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门窗幕墙技术标评标合格，门窗质量一定是合格的么？如何提高门窗技术标评标效果？</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如何在设计选型和配置阶段，提升门窗性能的同时大幅降低无效成本？</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石材幕墙的价值分析，产品选型分析。幕墙龙骨配置优选；</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幕墙成本划算么？性能达标么？？假幕墙窗的性价比优势。</w:t>
      </w:r>
    </w:p>
    <w:p>
      <w:pPr>
        <w:numPr>
          <w:ilvl w:val="2"/>
          <w:numId w:val="15"/>
        </w:numPr>
        <w:spacing w:line="480" w:lineRule="exact"/>
        <w:rPr>
          <w:rFonts w:hint="eastAsia" w:ascii="微软雅黑" w:hAnsi="微软雅黑" w:eastAsia="微软雅黑"/>
          <w:b/>
          <w:color w:val="000000"/>
          <w:sz w:val="24"/>
        </w:rPr>
      </w:pPr>
      <w:r>
        <w:rPr>
          <w:rFonts w:hint="eastAsia" w:ascii="微软雅黑" w:hAnsi="微软雅黑" w:eastAsia="微软雅黑"/>
          <w:b/>
          <w:color w:val="000000"/>
          <w:sz w:val="24"/>
        </w:rPr>
        <w:t>国标门窗性能合格标准如何设定和检测？如何在达标的同时控制无效成本支出？</w:t>
      </w:r>
    </w:p>
    <w:p>
      <w:pPr>
        <w:spacing w:line="480" w:lineRule="exact"/>
      </w:pPr>
      <w:r>
        <w:rPr>
          <w:rFonts w:ascii="微软雅黑" w:hAnsi="微软雅黑" w:eastAsia="微软雅黑" w:cs="微软雅黑"/>
          <w:b/>
          <w:color w:val="000000"/>
          <w:sz w:val="24"/>
        </w:rPr>
        <w:br w:type="page"/>
      </w:r>
      <w: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宋体"/>
          <w:b/>
          <w:color w:val="404040"/>
          <w:spacing w:val="10"/>
          <w:szCs w:val="21"/>
          <w:lang/>
        </w:rPr>
        <w:drawing>
          <wp:inline distT="0" distB="0" distL="114300" distR="114300">
            <wp:extent cx="6200775" cy="390525"/>
            <wp:effectExtent l="0" t="0" r="1905" b="571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9"/>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6"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职业背景"/>
                    <pic:cNvPicPr>
                      <a:picLocks noChangeAspect="1"/>
                    </pic:cNvPicPr>
                  </pic:nvPicPr>
                  <pic:blipFill>
                    <a:blip r:embed="rId10"/>
                    <a:stretch>
                      <a:fillRect/>
                    </a:stretch>
                  </pic:blipFill>
                  <pic:spPr>
                    <a:xfrm>
                      <a:off x="0" y="0"/>
                      <a:ext cx="6172200" cy="409575"/>
                    </a:xfrm>
                    <a:prstGeom prst="rect">
                      <a:avLst/>
                    </a:prstGeom>
                    <a:noFill/>
                    <a:ln>
                      <a:noFill/>
                    </a:ln>
                  </pic:spPr>
                </pic:pic>
              </a:graphicData>
            </a:graphic>
          </wp:inline>
        </w:drawing>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6"/>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9"/>
                    <pic:cNvPicPr>
                      <a:picLocks noChangeAspect="1"/>
                    </pic:cNvPicPr>
                  </pic:nvPicPr>
                  <pic:blipFill>
                    <a:blip r:embed="rId11"/>
                    <a:stretch>
                      <a:fillRect/>
                    </a:stretch>
                  </pic:blipFill>
                  <pic:spPr>
                    <a:xfrm>
                      <a:off x="0" y="0"/>
                      <a:ext cx="6191250" cy="409575"/>
                    </a:xfrm>
                    <a:prstGeom prst="rect">
                      <a:avLst/>
                    </a:prstGeom>
                    <a:noFill/>
                    <a:ln>
                      <a:noFill/>
                    </a:ln>
                  </pic:spPr>
                </pic:pic>
              </a:graphicData>
            </a:graphic>
          </wp:inline>
        </w:drawing>
      </w:r>
    </w:p>
    <w:p>
      <w:pPr>
        <w:pStyle w:val="16"/>
        <w:widowControl/>
        <w:numPr>
          <w:ilvl w:val="0"/>
          <w:numId w:val="17"/>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6"/>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pic:cNvPicPr>
                      <a:picLocks noChangeAspect="1"/>
                    </pic:cNvPicPr>
                  </pic:nvPicPr>
                  <pic:blipFill>
                    <a:blip r:embed="rId12"/>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2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2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2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2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2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2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20"/>
        </w:numPr>
        <w:spacing w:line="360" w:lineRule="auto"/>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《标杆房企工程管理之门窗体系的管理要点及实战案例》</w:t>
      </w:r>
      <w:r>
        <w:rPr>
          <w:rFonts w:hint="eastAsia" w:ascii="微软雅黑" w:hAnsi="微软雅黑" w:eastAsia="微软雅黑" w:cs="微软雅黑"/>
          <w:b/>
          <w:color w:val="404040"/>
          <w:szCs w:val="21"/>
          <w:highlight w:val="yellow"/>
        </w:rPr>
        <w:t>（华润门窗产品质量提升课程）</w:t>
      </w:r>
    </w:p>
    <w:p>
      <w:pPr>
        <w:numPr>
          <w:ilvl w:val="0"/>
          <w:numId w:val="20"/>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2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2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2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2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5"/>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8A369DC"/>
    <w:multiLevelType w:val="multilevel"/>
    <w:tmpl w:val="18A369DC"/>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3">
    <w:nsid w:val="211609C0"/>
    <w:multiLevelType w:val="multilevel"/>
    <w:tmpl w:val="211609C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27CA3847"/>
    <w:multiLevelType w:val="multilevel"/>
    <w:tmpl w:val="27CA3847"/>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5">
    <w:nsid w:val="28A87291"/>
    <w:multiLevelType w:val="multilevel"/>
    <w:tmpl w:val="28A8729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6">
    <w:nsid w:val="2AA52E93"/>
    <w:multiLevelType w:val="multilevel"/>
    <w:tmpl w:val="2AA52E93"/>
    <w:lvl w:ilvl="0" w:tentative="0">
      <w:start w:val="1"/>
      <w:numFmt w:val="japaneseCounting"/>
      <w:lvlText w:val="%1、"/>
      <w:lvlJc w:val="left"/>
      <w:pPr>
        <w:ind w:left="720" w:hanging="720"/>
      </w:pPr>
    </w:lvl>
    <w:lvl w:ilvl="1" w:tentative="0">
      <w:start w:val="1"/>
      <w:numFmt w:val="decimal"/>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BBD39F0"/>
    <w:multiLevelType w:val="multilevel"/>
    <w:tmpl w:val="2BBD39F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9">
    <w:nsid w:val="2C613359"/>
    <w:multiLevelType w:val="multilevel"/>
    <w:tmpl w:val="2C613359"/>
    <w:lvl w:ilvl="0" w:tentative="0">
      <w:start w:val="1"/>
      <w:numFmt w:val="decimal"/>
      <w:lvlText w:val="%1."/>
      <w:lvlJc w:val="left"/>
      <w:pPr>
        <w:ind w:left="29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335B7A6F"/>
    <w:multiLevelType w:val="multilevel"/>
    <w:tmpl w:val="335B7A6F"/>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2">
    <w:nsid w:val="37AD2F89"/>
    <w:multiLevelType w:val="multilevel"/>
    <w:tmpl w:val="37AD2F89"/>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3">
    <w:nsid w:val="50F21673"/>
    <w:multiLevelType w:val="multilevel"/>
    <w:tmpl w:val="50F21673"/>
    <w:lvl w:ilvl="0" w:tentative="0">
      <w:start w:val="1"/>
      <w:numFmt w:val="decimal"/>
      <w:lvlText w:val="%1."/>
      <w:lvlJc w:val="left"/>
      <w:pPr>
        <w:ind w:left="84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5">
    <w:nsid w:val="5C4D30F4"/>
    <w:multiLevelType w:val="multilevel"/>
    <w:tmpl w:val="5C4D30F4"/>
    <w:lvl w:ilvl="0" w:tentative="0">
      <w:start w:val="1"/>
      <w:numFmt w:val="decimal"/>
      <w:lvlText w:val="%1."/>
      <w:lvlJc w:val="left"/>
      <w:pPr>
        <w:ind w:left="900" w:hanging="420"/>
      </w:pPr>
      <w:rPr>
        <w:rFonts w:hint="eastAsia" w:ascii="宋体" w:hAnsi="宋体" w:eastAsia="宋体"/>
      </w:rPr>
    </w:lvl>
    <w:lvl w:ilvl="1" w:tentative="0">
      <w:start w:val="1"/>
      <w:numFmt w:val="decimal"/>
      <w:lvlText w:val="9.%2."/>
      <w:lvlJc w:val="left"/>
      <w:pPr>
        <w:ind w:left="1320" w:hanging="420"/>
      </w:pPr>
      <w:rPr>
        <w:rFonts w:hint="eastAsia" w:ascii="宋体" w:hAnsi="宋体" w:eastAsia="宋体"/>
      </w:rPr>
    </w:lvl>
    <w:lvl w:ilvl="2" w:tentative="0">
      <w:start w:val="1"/>
      <w:numFmt w:val="decimal"/>
      <w:lvlText w:val="%3、"/>
      <w:lvlJc w:val="left"/>
      <w:pPr>
        <w:ind w:left="2040" w:hanging="720"/>
      </w:pPr>
      <w:rPr>
        <w:rFonts w:hint="default" w:ascii="Times New Roman" w:hAnsi="Times New Roman" w:cs="Times New Roman"/>
      </w:rPr>
    </w:lvl>
    <w:lvl w:ilvl="3" w:tentative="0">
      <w:start w:val="1"/>
      <w:numFmt w:val="decimal"/>
      <w:lvlText w:val="%4."/>
      <w:lvlJc w:val="left"/>
      <w:pPr>
        <w:ind w:left="2160" w:hanging="420"/>
      </w:pPr>
      <w:rPr>
        <w:rFonts w:hint="default" w:ascii="Times New Roman" w:hAnsi="Times New Roman" w:cs="Times New Roman"/>
      </w:rPr>
    </w:lvl>
    <w:lvl w:ilvl="4" w:tentative="0">
      <w:start w:val="1"/>
      <w:numFmt w:val="lowerLetter"/>
      <w:lvlText w:val="%5)"/>
      <w:lvlJc w:val="left"/>
      <w:pPr>
        <w:ind w:left="2580" w:hanging="420"/>
      </w:pPr>
      <w:rPr>
        <w:rFonts w:hint="default" w:ascii="Times New Roman" w:hAnsi="Times New Roman" w:cs="Times New Roman"/>
      </w:rPr>
    </w:lvl>
    <w:lvl w:ilvl="5" w:tentative="0">
      <w:start w:val="1"/>
      <w:numFmt w:val="lowerRoman"/>
      <w:lvlText w:val="%6."/>
      <w:lvlJc w:val="right"/>
      <w:pPr>
        <w:ind w:left="3000" w:hanging="420"/>
      </w:pPr>
      <w:rPr>
        <w:rFonts w:hint="default" w:ascii="Times New Roman" w:hAnsi="Times New Roman" w:cs="Times New Roman"/>
      </w:rPr>
    </w:lvl>
    <w:lvl w:ilvl="6" w:tentative="0">
      <w:start w:val="1"/>
      <w:numFmt w:val="decimal"/>
      <w:lvlText w:val="%7."/>
      <w:lvlJc w:val="left"/>
      <w:pPr>
        <w:ind w:left="3420" w:hanging="420"/>
      </w:pPr>
      <w:rPr>
        <w:rFonts w:hint="default" w:ascii="Times New Roman" w:hAnsi="Times New Roman" w:cs="Times New Roman"/>
      </w:rPr>
    </w:lvl>
    <w:lvl w:ilvl="7" w:tentative="0">
      <w:start w:val="1"/>
      <w:numFmt w:val="lowerLetter"/>
      <w:lvlText w:val="%8)"/>
      <w:lvlJc w:val="left"/>
      <w:pPr>
        <w:ind w:left="3840" w:hanging="420"/>
      </w:pPr>
      <w:rPr>
        <w:rFonts w:hint="default" w:ascii="Times New Roman" w:hAnsi="Times New Roman" w:cs="Times New Roman"/>
      </w:rPr>
    </w:lvl>
    <w:lvl w:ilvl="8" w:tentative="0">
      <w:start w:val="1"/>
      <w:numFmt w:val="lowerRoman"/>
      <w:lvlText w:val="%9."/>
      <w:lvlJc w:val="right"/>
      <w:pPr>
        <w:ind w:left="4260" w:hanging="420"/>
      </w:pPr>
      <w:rPr>
        <w:rFonts w:hint="default" w:ascii="Times New Roman" w:hAnsi="Times New Roman" w:cs="Times New Roman"/>
      </w:rPr>
    </w:lvl>
  </w:abstractNum>
  <w:abstractNum w:abstractNumId="16">
    <w:nsid w:val="5DD15CD2"/>
    <w:multiLevelType w:val="multilevel"/>
    <w:tmpl w:val="5DD15CD2"/>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7">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8">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9">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1">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2">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9"/>
  </w:num>
  <w:num w:numId="3">
    <w:abstractNumId w:val="13"/>
  </w:num>
  <w:num w:numId="4">
    <w:abstractNumId w:val="17"/>
  </w:num>
  <w:num w:numId="5">
    <w:abstractNumId w:val="12"/>
  </w:num>
  <w:num w:numId="6">
    <w:abstractNumId w:val="4"/>
  </w:num>
  <w:num w:numId="7">
    <w:abstractNumId w:val="5"/>
  </w:num>
  <w:num w:numId="8">
    <w:abstractNumId w:val="3"/>
  </w:num>
  <w:num w:numId="9">
    <w:abstractNumId w:val="11"/>
  </w:num>
  <w:num w:numId="10">
    <w:abstractNumId w:val="2"/>
  </w:num>
  <w:num w:numId="11">
    <w:abstractNumId w:val="18"/>
  </w:num>
  <w:num w:numId="12">
    <w:abstractNumId w:val="8"/>
  </w:num>
  <w:num w:numId="13">
    <w:abstractNumId w:val="16"/>
  </w:num>
  <w:num w:numId="14">
    <w:abstractNumId w:val="9"/>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10"/>
  </w:num>
  <w:num w:numId="20">
    <w:abstractNumId w:val="21"/>
  </w:num>
  <w:num w:numId="21">
    <w:abstractNumId w:val="14"/>
  </w:num>
  <w:num w:numId="22">
    <w:abstractNumId w:val="1"/>
  </w:num>
  <w:num w:numId="23">
    <w:abstractNumId w:val="14"/>
  </w:num>
  <w:num w:numId="24">
    <w:abstractNumId w:val="1"/>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F07"/>
    <w:rsid w:val="000107E2"/>
    <w:rsid w:val="00035A21"/>
    <w:rsid w:val="000419D8"/>
    <w:rsid w:val="00042AD8"/>
    <w:rsid w:val="00044A4A"/>
    <w:rsid w:val="0006055E"/>
    <w:rsid w:val="00075514"/>
    <w:rsid w:val="0007597C"/>
    <w:rsid w:val="00096D6F"/>
    <w:rsid w:val="000B6C4B"/>
    <w:rsid w:val="0013013A"/>
    <w:rsid w:val="00132321"/>
    <w:rsid w:val="001329DA"/>
    <w:rsid w:val="00151DB4"/>
    <w:rsid w:val="001851CB"/>
    <w:rsid w:val="00191555"/>
    <w:rsid w:val="001C0FCA"/>
    <w:rsid w:val="001C391F"/>
    <w:rsid w:val="001C6F2A"/>
    <w:rsid w:val="001E0A5E"/>
    <w:rsid w:val="001E306A"/>
    <w:rsid w:val="00214BB7"/>
    <w:rsid w:val="002170AA"/>
    <w:rsid w:val="00222A87"/>
    <w:rsid w:val="00237FE0"/>
    <w:rsid w:val="002555A4"/>
    <w:rsid w:val="0027653D"/>
    <w:rsid w:val="00286226"/>
    <w:rsid w:val="00290A2A"/>
    <w:rsid w:val="00291C6C"/>
    <w:rsid w:val="00292D26"/>
    <w:rsid w:val="002A5749"/>
    <w:rsid w:val="002C22A4"/>
    <w:rsid w:val="002D6EF4"/>
    <w:rsid w:val="002E5ED4"/>
    <w:rsid w:val="002F1AE9"/>
    <w:rsid w:val="0031596C"/>
    <w:rsid w:val="00322045"/>
    <w:rsid w:val="0032733F"/>
    <w:rsid w:val="00342CAD"/>
    <w:rsid w:val="00350713"/>
    <w:rsid w:val="00363BA6"/>
    <w:rsid w:val="003728E5"/>
    <w:rsid w:val="00376846"/>
    <w:rsid w:val="003878F9"/>
    <w:rsid w:val="003E514C"/>
    <w:rsid w:val="003E619C"/>
    <w:rsid w:val="00404613"/>
    <w:rsid w:val="00407036"/>
    <w:rsid w:val="004179C2"/>
    <w:rsid w:val="00423F1E"/>
    <w:rsid w:val="00434FF2"/>
    <w:rsid w:val="0045729F"/>
    <w:rsid w:val="00475856"/>
    <w:rsid w:val="00477CAE"/>
    <w:rsid w:val="00486FFE"/>
    <w:rsid w:val="0049540D"/>
    <w:rsid w:val="00496CDE"/>
    <w:rsid w:val="004E1C26"/>
    <w:rsid w:val="004E4AC7"/>
    <w:rsid w:val="004F55D3"/>
    <w:rsid w:val="00502DE3"/>
    <w:rsid w:val="00531E46"/>
    <w:rsid w:val="00555B66"/>
    <w:rsid w:val="00563CC4"/>
    <w:rsid w:val="00573375"/>
    <w:rsid w:val="0058697F"/>
    <w:rsid w:val="00596E95"/>
    <w:rsid w:val="005A0CDB"/>
    <w:rsid w:val="005C1F5B"/>
    <w:rsid w:val="00613DF5"/>
    <w:rsid w:val="006156CA"/>
    <w:rsid w:val="00633212"/>
    <w:rsid w:val="00645E39"/>
    <w:rsid w:val="0066089E"/>
    <w:rsid w:val="0067469A"/>
    <w:rsid w:val="00687D03"/>
    <w:rsid w:val="00695C65"/>
    <w:rsid w:val="006D3DEF"/>
    <w:rsid w:val="006F6674"/>
    <w:rsid w:val="00721243"/>
    <w:rsid w:val="007348CC"/>
    <w:rsid w:val="007563B7"/>
    <w:rsid w:val="007726F3"/>
    <w:rsid w:val="007B03E7"/>
    <w:rsid w:val="007D67FE"/>
    <w:rsid w:val="007F5620"/>
    <w:rsid w:val="00802A72"/>
    <w:rsid w:val="00861676"/>
    <w:rsid w:val="00885472"/>
    <w:rsid w:val="008952AF"/>
    <w:rsid w:val="009031C7"/>
    <w:rsid w:val="00914E17"/>
    <w:rsid w:val="00922DFA"/>
    <w:rsid w:val="00924283"/>
    <w:rsid w:val="0094773A"/>
    <w:rsid w:val="0097034A"/>
    <w:rsid w:val="009816FE"/>
    <w:rsid w:val="0098413C"/>
    <w:rsid w:val="0098470E"/>
    <w:rsid w:val="009A6653"/>
    <w:rsid w:val="009E7AED"/>
    <w:rsid w:val="009F5577"/>
    <w:rsid w:val="00A236B2"/>
    <w:rsid w:val="00A36818"/>
    <w:rsid w:val="00A40192"/>
    <w:rsid w:val="00A522F0"/>
    <w:rsid w:val="00A54B56"/>
    <w:rsid w:val="00A76C3F"/>
    <w:rsid w:val="00A80D66"/>
    <w:rsid w:val="00A84E58"/>
    <w:rsid w:val="00A86084"/>
    <w:rsid w:val="00A8706F"/>
    <w:rsid w:val="00AB55FE"/>
    <w:rsid w:val="00AB647E"/>
    <w:rsid w:val="00AC5E27"/>
    <w:rsid w:val="00B22D95"/>
    <w:rsid w:val="00B24901"/>
    <w:rsid w:val="00B311A8"/>
    <w:rsid w:val="00B40F89"/>
    <w:rsid w:val="00B55571"/>
    <w:rsid w:val="00B65FDE"/>
    <w:rsid w:val="00BA370E"/>
    <w:rsid w:val="00BB4745"/>
    <w:rsid w:val="00BD3711"/>
    <w:rsid w:val="00BD522F"/>
    <w:rsid w:val="00BF7C13"/>
    <w:rsid w:val="00C00C29"/>
    <w:rsid w:val="00C0507B"/>
    <w:rsid w:val="00C064AA"/>
    <w:rsid w:val="00C12D6D"/>
    <w:rsid w:val="00C41350"/>
    <w:rsid w:val="00C4273D"/>
    <w:rsid w:val="00C44ECE"/>
    <w:rsid w:val="00C62174"/>
    <w:rsid w:val="00C64D9B"/>
    <w:rsid w:val="00C675A5"/>
    <w:rsid w:val="00C73987"/>
    <w:rsid w:val="00C770BF"/>
    <w:rsid w:val="00C92DE5"/>
    <w:rsid w:val="00CA0147"/>
    <w:rsid w:val="00CA6916"/>
    <w:rsid w:val="00CB04D1"/>
    <w:rsid w:val="00CD3FC3"/>
    <w:rsid w:val="00CF24E5"/>
    <w:rsid w:val="00D225D1"/>
    <w:rsid w:val="00D310AF"/>
    <w:rsid w:val="00D80B19"/>
    <w:rsid w:val="00DA3179"/>
    <w:rsid w:val="00DA56A6"/>
    <w:rsid w:val="00DB7CD7"/>
    <w:rsid w:val="00DE3153"/>
    <w:rsid w:val="00DF631C"/>
    <w:rsid w:val="00E0315A"/>
    <w:rsid w:val="00E44D73"/>
    <w:rsid w:val="00E514D1"/>
    <w:rsid w:val="00E5702D"/>
    <w:rsid w:val="00E677AD"/>
    <w:rsid w:val="00E83857"/>
    <w:rsid w:val="00E92D36"/>
    <w:rsid w:val="00E943B1"/>
    <w:rsid w:val="00EE02BD"/>
    <w:rsid w:val="00F21560"/>
    <w:rsid w:val="00F327BC"/>
    <w:rsid w:val="00F44337"/>
    <w:rsid w:val="00F713E9"/>
    <w:rsid w:val="00F8025C"/>
    <w:rsid w:val="00F92274"/>
    <w:rsid w:val="00FA5F27"/>
    <w:rsid w:val="00FB030B"/>
    <w:rsid w:val="00FB5406"/>
    <w:rsid w:val="00FC27B6"/>
    <w:rsid w:val="00FF0C2C"/>
    <w:rsid w:val="00FF32B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2B5F382D"/>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customStyle="1" w:styleId="2">
    <w:name w:val="样式1"/>
    <w:basedOn w:val="3"/>
    <w:qFormat/>
    <w:uiPriority w:val="0"/>
    <w:pPr>
      <w:spacing w:line="360" w:lineRule="auto"/>
      <w:jc w:val="center"/>
    </w:pPr>
    <w:rPr>
      <w:rFonts w:ascii="微软雅黑" w:hAnsi="微软雅黑" w:eastAsia="微软雅黑"/>
      <w:sz w:val="32"/>
      <w:szCs w:val="32"/>
    </w:rPr>
  </w:style>
  <w:style w:type="paragraph" w:styleId="4">
    <w:name w:val="annotation text"/>
    <w:basedOn w:val="1"/>
    <w:link w:val="17"/>
    <w:uiPriority w:val="0"/>
    <w:pPr>
      <w:jc w:val="left"/>
    </w:pPr>
  </w:style>
  <w:style w:type="paragraph" w:styleId="5">
    <w:name w:val="footer"/>
    <w:basedOn w:val="1"/>
    <w:link w:val="15"/>
    <w:uiPriority w:val="0"/>
    <w:pPr>
      <w:tabs>
        <w:tab w:val="center" w:pos="4153"/>
        <w:tab w:val="right" w:pos="8306"/>
      </w:tabs>
      <w:snapToGrid w:val="0"/>
      <w:jc w:val="left"/>
    </w:pPr>
    <w:rPr>
      <w:sz w:val="18"/>
      <w:szCs w:val="18"/>
    </w:rPr>
  </w:style>
  <w:style w:type="paragraph" w:styleId="6">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rPr>
  </w:style>
  <w:style w:type="paragraph" w:styleId="8">
    <w:name w:val="annotation subject"/>
    <w:basedOn w:val="4"/>
    <w:next w:val="4"/>
    <w:link w:val="18"/>
    <w:uiPriority w:val="0"/>
    <w:rPr>
      <w:b/>
      <w:bCs/>
    </w:rPr>
  </w:style>
  <w:style w:type="table" w:styleId="10">
    <w:name w:val="Table Grid"/>
    <w:basedOn w:val="9"/>
    <w:uiPriority w:val="0"/>
    <w:pPr>
      <w:widowControl w:val="0"/>
      <w:jc w:val="both"/>
    </w:pPr>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character" w:styleId="13">
    <w:name w:val="annotation reference"/>
    <w:uiPriority w:val="0"/>
    <w:rPr>
      <w:sz w:val="21"/>
      <w:szCs w:val="21"/>
    </w:rPr>
  </w:style>
  <w:style w:type="character" w:customStyle="1" w:styleId="14">
    <w:name w:val="页眉 Char"/>
    <w:link w:val="6"/>
    <w:uiPriority w:val="0"/>
    <w:rPr>
      <w:kern w:val="2"/>
      <w:sz w:val="18"/>
      <w:szCs w:val="18"/>
    </w:rPr>
  </w:style>
  <w:style w:type="character" w:customStyle="1" w:styleId="15">
    <w:name w:val="页脚 Char"/>
    <w:link w:val="5"/>
    <w:uiPriority w:val="0"/>
    <w:rPr>
      <w:kern w:val="2"/>
      <w:sz w:val="18"/>
      <w:szCs w:val="18"/>
    </w:rPr>
  </w:style>
  <w:style w:type="paragraph" w:styleId="16">
    <w:name w:val="List Paragraph"/>
    <w:basedOn w:val="1"/>
    <w:qFormat/>
    <w:uiPriority w:val="34"/>
    <w:pPr>
      <w:ind w:firstLine="420" w:firstLineChars="200"/>
    </w:pPr>
    <w:rPr>
      <w:rFonts w:ascii="等线" w:hAnsi="等线" w:eastAsia="等线"/>
      <w:szCs w:val="22"/>
    </w:rPr>
  </w:style>
  <w:style w:type="character" w:customStyle="1" w:styleId="17">
    <w:name w:val="批注文字 字符"/>
    <w:link w:val="4"/>
    <w:uiPriority w:val="0"/>
    <w:rPr>
      <w:kern w:val="2"/>
      <w:sz w:val="21"/>
      <w:szCs w:val="24"/>
    </w:rPr>
  </w:style>
  <w:style w:type="character" w:customStyle="1" w:styleId="18">
    <w:name w:val="批注主题 字符"/>
    <w:link w:val="8"/>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7556</Words>
  <Characters>7582</Characters>
  <Lines>55</Lines>
  <Paragraphs>15</Paragraphs>
  <TotalTime>0</TotalTime>
  <ScaleCrop>false</ScaleCrop>
  <LinksUpToDate>false</LinksUpToDate>
  <CharactersWithSpaces>7623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2021-04-28T08:02:00Z</dcterms:created>
  <dc:creator>微软中国</dc:creator>
  <cp:lastModifiedBy>蓉儿</cp:lastModifiedBy>
  <dcterms:modified xsi:type="dcterms:W3CDTF">2023-01-04T08:15:11Z</dcterms:modified>
  <dc:title>在当前房地产行业中，设计管理一直是各地产公司管理的焦点和难点</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AACA1445D75B49598965F12465957041</vt:lpwstr>
  </property>
</Properties>
</file>