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8"/>
          <w:szCs w:val="28"/>
        </w:rPr>
      </w:pPr>
      <w:bookmarkStart w:id="9" w:name="_GoBack"/>
      <w:bookmarkEnd w:id="9"/>
      <w:r>
        <w:rPr>
          <w:rFonts w:hint="eastAsia" w:ascii="微软雅黑" w:hAnsi="微软雅黑" w:eastAsia="微软雅黑" w:cs="微软雅黑"/>
          <w:b/>
          <w:bCs/>
          <w:sz w:val="24"/>
        </w:rPr>
        <w:t>主体结构施工工艺管控要点及实战案例</w:t>
      </w:r>
    </w:p>
    <w:p>
      <w:pPr>
        <w:spacing w:line="480" w:lineRule="exact"/>
        <w:ind w:left="567" w:leftChars="270"/>
        <w:rPr>
          <w:rFonts w:hint="eastAsia" w:ascii="微软雅黑" w:hAnsi="微软雅黑" w:eastAsia="微软雅黑" w:cs="微软雅黑"/>
          <w:sz w:val="28"/>
          <w:szCs w:val="28"/>
        </w:rPr>
      </w:pPr>
      <w:r>
        <w:rPr>
          <w:b/>
          <w:bCs/>
          <w:sz w:val="28"/>
          <w:szCs w:val="28"/>
        </w:rPr>
        <mc:AlternateContent>
          <mc:Choice Requires="wps">
            <w:drawing>
              <wp:anchor distT="0" distB="0" distL="114300" distR="114300" simplePos="0" relativeHeight="251662336" behindDoc="0" locked="0" layoutInCell="1" allowOverlap="1">
                <wp:simplePos x="0" y="0"/>
                <wp:positionH relativeFrom="column">
                  <wp:posOffset>128905</wp:posOffset>
                </wp:positionH>
                <wp:positionV relativeFrom="paragraph">
                  <wp:posOffset>209550</wp:posOffset>
                </wp:positionV>
                <wp:extent cx="1064895" cy="374015"/>
                <wp:effectExtent l="4445" t="4445" r="12700" b="17780"/>
                <wp:wrapSquare wrapText="bothSides"/>
                <wp:docPr id="4" name="文本框 10"/>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【课程背景】</w:t>
                            </w:r>
                          </w:p>
                        </w:txbxContent>
                      </wps:txbx>
                      <wps:bodyPr wrap="square" upright="1"/>
                    </wps:wsp>
                  </a:graphicData>
                </a:graphic>
              </wp:anchor>
            </w:drawing>
          </mc:Choice>
          <mc:Fallback>
            <w:pict>
              <v:shape id="文本框 10" o:spid="_x0000_s1026" o:spt="202" type="#_x0000_t202" style="position:absolute;left:0pt;margin-left:10.15pt;margin-top:16.5pt;height:29.45pt;width:83.85pt;mso-wrap-distance-bottom:0pt;mso-wrap-distance-left:9pt;mso-wrap-distance-right:9pt;mso-wrap-distance-top:0pt;z-index:251662336;mso-width-relative:page;mso-height-relative:page;" fillcolor="#000000" filled="t" stroked="t" coordsize="21600,21600" o:gfxdata="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gTYhtcAAAAIAQAADwAA&#10;AAAAAAABACAAAAAiAAAAZHJzL2Rvd25yZXYueG1sUEsBAhQAFAAAAAgAh07iQD4S5aoXAgAARQ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【课程背景】</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spacing w:line="480" w:lineRule="exact"/>
        <w:ind w:firstLine="480" w:firstLineChars="200"/>
        <w:rPr>
          <w:rFonts w:hint="eastAsia" w:ascii="微软雅黑" w:hAnsi="微软雅黑" w:eastAsia="微软雅黑" w:cs="微软雅黑"/>
          <w:sz w:val="24"/>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80" w:lineRule="exact"/>
        <w:ind w:left="567" w:leftChars="270"/>
        <w:rPr>
          <w:rFonts w:hint="eastAsia" w:ascii="微软雅黑" w:hAnsi="微软雅黑" w:eastAsia="微软雅黑" w:cs="微软雅黑"/>
          <w:sz w:val="28"/>
          <w:szCs w:val="28"/>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162560</wp:posOffset>
                </wp:positionV>
                <wp:extent cx="1064895" cy="374015"/>
                <wp:effectExtent l="4445" t="4445" r="12700" b="17780"/>
                <wp:wrapSquare wrapText="bothSides"/>
                <wp:docPr id="1" name="文本框 7"/>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【课程收益】</w:t>
                            </w:r>
                          </w:p>
                        </w:txbxContent>
                      </wps:txbx>
                      <wps:bodyPr wrap="square" upright="1"/>
                    </wps:wsp>
                  </a:graphicData>
                </a:graphic>
              </wp:anchor>
            </w:drawing>
          </mc:Choice>
          <mc:Fallback>
            <w:pict>
              <v:shape id="文本框 7" o:spid="_x0000_s1026" o:spt="202" type="#_x0000_t202" style="position:absolute;left:0pt;margin-left:7.8pt;margin-top:12.8pt;height:29.45pt;width:83.85pt;mso-wrap-distance-bottom:0pt;mso-wrap-distance-left:9pt;mso-wrap-distance-right:9pt;mso-wrap-distance-top:0pt;z-index:251659264;mso-width-relative:page;mso-height-relative:page;" fillcolor="#000000" filled="t" stroked="t" coordsize="21600,21600" o:gfxdata="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oHodzXAAAACAEAAA8AAAAA&#10;AAAAAQAgAAAAIgAAAGRycy9kb3ducmV2LnhtbFBLAQIUABQAAAAIAIdO4kA3cmPLFQIAAEQEAAAO&#10;AAAAAAAAAAEAIAAAACYBAABkcnMvZTJvRG9jLnhtbFBLBQYAAAAABgAGAFkBAACtBQ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【课程收益】</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深刻理解并体会工程管理各专业工程工艺工法和质量控制</w:t>
      </w: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提高员工工程工艺基本操作管理意识</w:t>
      </w: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强化员工工程流程和标准化的理念</w:t>
      </w:r>
    </w:p>
    <w:p>
      <w:pPr>
        <w:pStyle w:val="12"/>
        <w:numPr>
          <w:ilvl w:val="0"/>
          <w:numId w:val="1"/>
        </w:numPr>
        <w:spacing w:line="360" w:lineRule="auto"/>
        <w:ind w:firstLineChars="0"/>
        <w:rPr>
          <w:rFonts w:ascii="微软雅黑" w:hAnsi="微软雅黑" w:eastAsia="微软雅黑" w:cs="微软雅黑"/>
          <w:sz w:val="24"/>
        </w:rPr>
      </w:pPr>
      <w:r>
        <w:rPr>
          <w:rFonts w:hint="eastAsia" w:ascii="微软雅黑" w:hAnsi="微软雅黑" w:eastAsia="微软雅黑" w:cs="微软雅黑"/>
          <w:sz w:val="24"/>
        </w:rPr>
        <w:t>夯实员工管理基础</w:t>
      </w:r>
    </w:p>
    <w:p>
      <w:pPr>
        <w:pStyle w:val="12"/>
        <w:numPr>
          <w:ilvl w:val="0"/>
          <w:numId w:val="1"/>
        </w:numPr>
        <w:spacing w:line="360" w:lineRule="auto"/>
        <w:ind w:firstLineChars="0"/>
        <w:rPr>
          <w:rFonts w:hint="eastAsia" w:ascii="微软雅黑" w:hAnsi="微软雅黑" w:eastAsia="微软雅黑" w:cs="微软雅黑"/>
          <w:sz w:val="24"/>
        </w:rPr>
      </w:pPr>
      <w:r>
        <w:rPr>
          <w:rFonts w:hint="eastAsia" w:ascii="微软雅黑" w:hAnsi="微软雅黑" w:eastAsia="微软雅黑" w:cs="微软雅黑"/>
          <w:sz w:val="24"/>
        </w:rPr>
        <w:t>学习吸收标杆企业的优秀管理方法，取其精华，提高自身管理能力，提高企业质量管理体系</w:t>
      </w:r>
    </w:p>
    <w:p>
      <w:pPr>
        <w:pStyle w:val="12"/>
        <w:spacing w:line="480" w:lineRule="exact"/>
        <w:ind w:left="900" w:hanging="420" w:firstLineChars="0"/>
        <w:rPr>
          <w:rFonts w:hint="eastAsia" w:ascii="微软雅黑" w:hAnsi="微软雅黑" w:eastAsia="微软雅黑" w:cs="微软雅黑"/>
          <w:b/>
          <w:bCs/>
          <w:color w:val="FF0000"/>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column">
                  <wp:posOffset>128905</wp:posOffset>
                </wp:positionH>
                <wp:positionV relativeFrom="paragraph">
                  <wp:posOffset>85090</wp:posOffset>
                </wp:positionV>
                <wp:extent cx="1064895" cy="374015"/>
                <wp:effectExtent l="4445" t="4445" r="12700" b="17780"/>
                <wp:wrapSquare wrapText="bothSides"/>
                <wp:docPr id="2" name="文本框 8"/>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【课程对象】</w:t>
                            </w:r>
                          </w:p>
                        </w:txbxContent>
                      </wps:txbx>
                      <wps:bodyPr wrap="square" upright="1"/>
                    </wps:wsp>
                  </a:graphicData>
                </a:graphic>
              </wp:anchor>
            </w:drawing>
          </mc:Choice>
          <mc:Fallback>
            <w:pict>
              <v:shape id="文本框 8" o:spid="_x0000_s1026" o:spt="202" type="#_x0000_t202" style="position:absolute;left:0pt;margin-left:10.15pt;margin-top:6.7pt;height:29.45pt;width:83.85pt;mso-wrap-distance-bottom:0pt;mso-wrap-distance-left:9pt;mso-wrap-distance-right:9pt;mso-wrap-distance-top:0pt;z-index:251660288;mso-width-relative:page;mso-height-relative:page;" fillcolor="#000000" filled="t" stroked="t" coordsize="21600,21600" o:gfxdata="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vubf9cAAAAIAQAADwAA&#10;AAAAAAABACAAAAAiAAAAZHJzL2Rvd25yZXYueG1sUEsBAhQAFAAAAAgAh07iQNZBp4UXAgAARA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【课程对象】</w:t>
                      </w:r>
                    </w:p>
                  </w:txbxContent>
                </v:textbox>
                <w10:wrap type="square"/>
              </v:shape>
            </w:pict>
          </mc:Fallback>
        </mc:AlternateContent>
      </w:r>
    </w:p>
    <w:p>
      <w:pPr>
        <w:widowControl/>
        <w:shd w:val="clear" w:color="auto" w:fill="FFFFFF"/>
        <w:spacing w:line="480" w:lineRule="exact"/>
        <w:ind w:left="567" w:leftChars="270"/>
        <w:jc w:val="left"/>
        <w:rPr>
          <w:rFonts w:ascii="Verdana" w:hAnsi="Verdana" w:cs="Verdana"/>
          <w:color w:val="333333"/>
          <w:sz w:val="28"/>
          <w:szCs w:val="28"/>
        </w:rPr>
      </w:pPr>
    </w:p>
    <w:p>
      <w:pPr>
        <w:pStyle w:val="12"/>
        <w:spacing w:line="360" w:lineRule="auto"/>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房地产企业董事长、总经理、总工、集团分管工程副总、项目总经理、工程总监、设计部经理、成本总监、成本部经理、工程部经理、造价工程师等。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widowControl/>
        <w:spacing w:line="440" w:lineRule="exact"/>
        <w:ind w:left="567" w:leftChars="270"/>
        <w:jc w:val="left"/>
        <w:rPr>
          <w:rFonts w:hint="eastAsia"/>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column">
                  <wp:posOffset>123825</wp:posOffset>
                </wp:positionH>
                <wp:positionV relativeFrom="paragraph">
                  <wp:posOffset>135255</wp:posOffset>
                </wp:positionV>
                <wp:extent cx="1064895" cy="374015"/>
                <wp:effectExtent l="4445" t="4445" r="12700" b="17780"/>
                <wp:wrapSquare wrapText="bothSides"/>
                <wp:docPr id="3" name="文本框 9"/>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【课程大纲】</w:t>
                            </w:r>
                          </w:p>
                        </w:txbxContent>
                      </wps:txbx>
                      <wps:bodyPr wrap="square" upright="1"/>
                    </wps:wsp>
                  </a:graphicData>
                </a:graphic>
              </wp:anchor>
            </w:drawing>
          </mc:Choice>
          <mc:Fallback>
            <w:pict>
              <v:shape id="文本框 9" o:spid="_x0000_s1026" o:spt="202" type="#_x0000_t202" style="position:absolute;left:0pt;margin-left:9.75pt;margin-top:10.65pt;height:29.45pt;width:83.85pt;mso-wrap-distance-bottom:0pt;mso-wrap-distance-left:9pt;mso-wrap-distance-right:9pt;mso-wrap-distance-top:0pt;z-index:251661312;mso-width-relative:page;mso-height-relative:page;" fillcolor="#000000" filled="t" stroked="t" coordsize="21600,21600" o:gfxdata="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uAP8tYAAAAIAQAADwAA&#10;AAAAAAABACAAAAAiAAAAZHJzL2Rvd25yZXYueG1sUEsBAhQAFAAAAAgAh07iQJyJMtMYAgAARAQA&#10;AA4AAAAAAAAAAQAgAAAAJQ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【课程大纲】</w:t>
                      </w:r>
                    </w:p>
                  </w:txbxContent>
                </v:textbox>
                <w10:wrap type="square"/>
              </v:shape>
            </w:pict>
          </mc:Fallback>
        </mc:AlternateContent>
      </w:r>
    </w:p>
    <w:p>
      <w:pPr>
        <w:spacing w:line="440" w:lineRule="exact"/>
        <w:ind w:left="567" w:leftChars="270"/>
        <w:rPr>
          <w:rFonts w:hint="eastAsia" w:ascii="微软雅黑" w:hAnsi="微软雅黑" w:eastAsia="微软雅黑" w:cs="微软雅黑"/>
          <w:b/>
          <w:color w:val="FF0000"/>
          <w:sz w:val="28"/>
          <w:szCs w:val="28"/>
        </w:rPr>
      </w:pP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第一部分：主体结构工艺工法</w:t>
      </w:r>
      <w:r>
        <w:rPr>
          <w:rFonts w:hint="eastAsia" w:ascii="微软雅黑" w:hAnsi="微软雅黑" w:eastAsia="微软雅黑"/>
          <w:b/>
          <w:color w:val="FF0000"/>
          <w:sz w:val="24"/>
          <w:szCs w:val="28"/>
        </w:rPr>
        <w:t>:</w:t>
      </w:r>
    </w:p>
    <w:p>
      <w:pPr>
        <w:pStyle w:val="12"/>
        <w:numPr>
          <w:ilvl w:val="1"/>
          <w:numId w:val="2"/>
        </w:numPr>
        <w:spacing w:line="360" w:lineRule="auto"/>
        <w:ind w:left="850" w:leftChars="405" w:firstLine="0" w:firstLineChars="0"/>
        <w:rPr>
          <w:rFonts w:ascii="微软雅黑" w:hAnsi="微软雅黑" w:eastAsia="微软雅黑"/>
          <w:b/>
          <w:sz w:val="24"/>
          <w:szCs w:val="24"/>
        </w:rPr>
      </w:pPr>
      <w:r>
        <w:rPr>
          <w:rFonts w:hint="eastAsia" w:ascii="微软雅黑" w:hAnsi="微软雅黑" w:eastAsia="微软雅黑"/>
          <w:b/>
          <w:sz w:val="24"/>
          <w:szCs w:val="24"/>
        </w:rPr>
        <w:t>钢筋工程:</w:t>
      </w:r>
      <w:r>
        <w:rPr>
          <w:rFonts w:hint="eastAsia"/>
          <w:b/>
        </w:rPr>
        <w:t xml:space="preserve"> </w:t>
      </w:r>
      <w:r>
        <w:rPr>
          <w:rFonts w:hint="eastAsia" w:ascii="微软雅黑" w:hAnsi="微软雅黑" w:eastAsia="微软雅黑"/>
          <w:b/>
          <w:sz w:val="24"/>
          <w:szCs w:val="24"/>
        </w:rPr>
        <w:t>原料管理/钢筋加工/钢筋连接/钢筋安装。原料管理:</w:t>
      </w:r>
      <w:r>
        <w:rPr>
          <w:rFonts w:hint="eastAsia" w:ascii="Times New Roman" w:hAnsi="Times New Roman" w:eastAsia="宋体"/>
          <w:b/>
          <w:szCs w:val="24"/>
        </w:rPr>
        <w:t xml:space="preserve"> </w:t>
      </w:r>
      <w:r>
        <w:rPr>
          <w:rFonts w:hint="eastAsia" w:ascii="微软雅黑" w:hAnsi="微软雅黑" w:eastAsia="微软雅黑"/>
          <w:b/>
          <w:sz w:val="24"/>
          <w:szCs w:val="24"/>
        </w:rPr>
        <w:t>进场验收——文件、</w:t>
      </w:r>
      <w:r>
        <w:rPr>
          <w:rFonts w:ascii="微软雅黑" w:hAnsi="微软雅黑" w:eastAsia="微软雅黑"/>
          <w:b/>
          <w:sz w:val="24"/>
          <w:szCs w:val="24"/>
        </w:rPr>
        <w:t>外观</w:t>
      </w:r>
      <w:r>
        <w:rPr>
          <w:rFonts w:hint="eastAsia" w:ascii="微软雅黑" w:hAnsi="微软雅黑" w:eastAsia="微软雅黑"/>
          <w:b/>
          <w:sz w:val="24"/>
          <w:szCs w:val="24"/>
        </w:rPr>
        <w:t>检查；复试</w:t>
      </w:r>
      <w:r>
        <w:rPr>
          <w:rFonts w:ascii="微软雅黑" w:hAnsi="微软雅黑" w:eastAsia="微软雅黑"/>
          <w:b/>
          <w:sz w:val="24"/>
          <w:szCs w:val="24"/>
        </w:rPr>
        <w:t>取样；</w:t>
      </w:r>
      <w:r>
        <w:rPr>
          <w:rFonts w:hint="eastAsia" w:ascii="微软雅黑" w:hAnsi="微软雅黑" w:eastAsia="微软雅黑"/>
          <w:b/>
          <w:sz w:val="24"/>
          <w:szCs w:val="24"/>
        </w:rPr>
        <w:t>现场堆放。钢筋加工：钢筋调直与切断；受力钢筋、箍筋弯折。钢筋连接：绑</w:t>
      </w:r>
      <w:r>
        <w:rPr>
          <w:rFonts w:ascii="微软雅黑" w:hAnsi="微软雅黑" w:eastAsia="微软雅黑"/>
          <w:b/>
          <w:sz w:val="24"/>
          <w:szCs w:val="24"/>
        </w:rPr>
        <w:t>扎搭接、</w:t>
      </w:r>
      <w:r>
        <w:rPr>
          <w:rFonts w:hint="eastAsia" w:ascii="微软雅黑" w:hAnsi="微软雅黑" w:eastAsia="微软雅黑"/>
          <w:b/>
          <w:sz w:val="24"/>
          <w:szCs w:val="24"/>
        </w:rPr>
        <w:t>机械连接、焊接</w:t>
      </w:r>
      <w:r>
        <w:rPr>
          <w:rFonts w:ascii="微软雅黑" w:hAnsi="微软雅黑" w:eastAsia="微软雅黑"/>
          <w:b/>
          <w:sz w:val="24"/>
          <w:szCs w:val="24"/>
        </w:rPr>
        <w:t>；</w:t>
      </w:r>
      <w:r>
        <w:rPr>
          <w:rFonts w:hint="eastAsia" w:ascii="微软雅黑" w:hAnsi="微软雅黑" w:eastAsia="微软雅黑"/>
          <w:b/>
          <w:sz w:val="24"/>
          <w:szCs w:val="24"/>
        </w:rPr>
        <w:t>钢筋绑扣基本型式。钢筋安装：</w:t>
      </w:r>
      <w:r>
        <w:rPr>
          <w:rFonts w:ascii="微软雅黑" w:hAnsi="微软雅黑" w:eastAsia="微软雅黑"/>
          <w:b/>
          <w:sz w:val="24"/>
          <w:szCs w:val="24"/>
        </w:rPr>
        <w:t>安装基本要求；</w:t>
      </w:r>
      <w:r>
        <w:rPr>
          <w:rFonts w:hint="eastAsia" w:ascii="微软雅黑" w:hAnsi="微软雅黑" w:eastAsia="微软雅黑"/>
          <w:b/>
          <w:sz w:val="24"/>
          <w:szCs w:val="24"/>
        </w:rPr>
        <w:t>墙体水平</w:t>
      </w:r>
      <w:r>
        <w:rPr>
          <w:rFonts w:ascii="微软雅黑" w:hAnsi="微软雅黑" w:eastAsia="微软雅黑"/>
          <w:b/>
          <w:sz w:val="24"/>
          <w:szCs w:val="24"/>
        </w:rPr>
        <w:t>、</w:t>
      </w:r>
      <w:r>
        <w:rPr>
          <w:rFonts w:hint="eastAsia" w:ascii="微软雅黑" w:hAnsi="微软雅黑" w:eastAsia="微软雅黑"/>
          <w:b/>
          <w:sz w:val="24"/>
          <w:szCs w:val="24"/>
        </w:rPr>
        <w:t>竖向梯子筋、柱模定位筋、墙体暗柱、</w:t>
      </w:r>
      <w:r>
        <w:rPr>
          <w:rFonts w:ascii="微软雅黑" w:hAnsi="微软雅黑" w:eastAsia="微软雅黑"/>
          <w:b/>
          <w:sz w:val="24"/>
          <w:szCs w:val="24"/>
        </w:rPr>
        <w:t>柱筋</w:t>
      </w:r>
      <w:r>
        <w:rPr>
          <w:rFonts w:hint="eastAsia" w:ascii="微软雅黑" w:hAnsi="微软雅黑" w:eastAsia="微软雅黑"/>
          <w:b/>
          <w:sz w:val="24"/>
          <w:szCs w:val="24"/>
        </w:rPr>
        <w:t>定位箍等</w:t>
      </w:r>
      <w:r>
        <w:rPr>
          <w:rFonts w:ascii="微软雅黑" w:hAnsi="微软雅黑" w:eastAsia="微软雅黑"/>
          <w:b/>
          <w:sz w:val="24"/>
          <w:szCs w:val="24"/>
        </w:rPr>
        <w:t>安装方式</w:t>
      </w:r>
      <w:r>
        <w:rPr>
          <w:rFonts w:hint="eastAsia" w:ascii="微软雅黑" w:hAnsi="微软雅黑" w:eastAsia="微软雅黑"/>
          <w:b/>
          <w:sz w:val="24"/>
          <w:szCs w:val="24"/>
        </w:rPr>
        <w:t>；冬期施工工艺及隐蔽验收。</w:t>
      </w:r>
    </w:p>
    <w:p>
      <w:pPr>
        <w:pStyle w:val="12"/>
        <w:numPr>
          <w:ilvl w:val="1"/>
          <w:numId w:val="2"/>
        </w:numPr>
        <w:spacing w:line="360" w:lineRule="auto"/>
        <w:ind w:left="850" w:leftChars="405" w:firstLine="0" w:firstLineChars="0"/>
        <w:rPr>
          <w:rFonts w:hint="eastAsia" w:ascii="微软雅黑" w:hAnsi="微软雅黑" w:eastAsia="微软雅黑"/>
          <w:b/>
          <w:sz w:val="24"/>
          <w:szCs w:val="24"/>
        </w:rPr>
      </w:pPr>
      <w:r>
        <w:rPr>
          <w:rFonts w:hint="eastAsia" w:ascii="微软雅黑" w:hAnsi="微软雅黑" w:eastAsia="微软雅黑"/>
          <w:b/>
          <w:sz w:val="24"/>
          <w:szCs w:val="24"/>
        </w:rPr>
        <w:t>模板工程：模板选型/模板设计和制作/木模板/大钢模板/铝模/允许偏差。模板选型</w:t>
      </w:r>
      <w:r>
        <w:rPr>
          <w:rFonts w:hint="eastAsia" w:ascii="Times New Roman" w:hAnsi="Times New Roman" w:eastAsia="宋体"/>
          <w:b/>
          <w:szCs w:val="24"/>
        </w:rPr>
        <w:t>的</w:t>
      </w:r>
      <w:r>
        <w:rPr>
          <w:rFonts w:hint="eastAsia" w:ascii="微软雅黑" w:hAnsi="微软雅黑" w:eastAsia="微软雅黑"/>
          <w:b/>
          <w:sz w:val="24"/>
          <w:szCs w:val="24"/>
        </w:rPr>
        <w:t>标准做法。模板设计和制作的相关计算。木模板、大钢模板、</w:t>
      </w:r>
      <w:r>
        <w:rPr>
          <w:rFonts w:ascii="微软雅黑" w:hAnsi="微软雅黑" w:eastAsia="微软雅黑"/>
          <w:b/>
          <w:sz w:val="24"/>
          <w:szCs w:val="24"/>
        </w:rPr>
        <w:t>铝模</w:t>
      </w:r>
      <w:r>
        <w:rPr>
          <w:rFonts w:hint="eastAsia" w:ascii="微软雅黑" w:hAnsi="微软雅黑" w:eastAsia="微软雅黑"/>
          <w:b/>
          <w:sz w:val="24"/>
          <w:szCs w:val="24"/>
        </w:rPr>
        <w:t>的进场堆放、拼装加固、拆除、清理、搬运、现场施工工艺样板及</w:t>
      </w:r>
      <w:r>
        <w:rPr>
          <w:rFonts w:ascii="微软雅黑" w:hAnsi="微软雅黑" w:eastAsia="微软雅黑"/>
          <w:b/>
          <w:sz w:val="24"/>
          <w:szCs w:val="24"/>
        </w:rPr>
        <w:t>效果。</w:t>
      </w:r>
      <w:r>
        <w:rPr>
          <w:rFonts w:hint="eastAsia" w:ascii="微软雅黑" w:hAnsi="微软雅黑" w:eastAsia="微软雅黑"/>
          <w:b/>
          <w:sz w:val="24"/>
          <w:szCs w:val="24"/>
        </w:rPr>
        <w:t>模板安装的允许偏差及检验方法。</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w:t>
      </w:r>
      <w:r>
        <w:rPr>
          <w:rFonts w:hint="eastAsia" w:ascii="微软雅黑" w:hAnsi="微软雅黑" w:eastAsia="微软雅黑"/>
          <w:b/>
          <w:color w:val="FF0000"/>
          <w:sz w:val="24"/>
          <w:szCs w:val="28"/>
        </w:rPr>
        <w:t>混凝土</w:t>
      </w:r>
      <w:r>
        <w:rPr>
          <w:rFonts w:ascii="微软雅黑" w:hAnsi="微软雅黑" w:eastAsia="微软雅黑"/>
          <w:b/>
          <w:color w:val="FF0000"/>
          <w:sz w:val="24"/>
          <w:szCs w:val="28"/>
        </w:rPr>
        <w:t>施工工艺</w:t>
      </w:r>
    </w:p>
    <w:p>
      <w:pPr>
        <w:pStyle w:val="12"/>
        <w:numPr>
          <w:ilvl w:val="1"/>
          <w:numId w:val="3"/>
        </w:numPr>
        <w:spacing w:line="360" w:lineRule="auto"/>
        <w:ind w:firstLine="11" w:firstLineChars="0"/>
        <w:rPr>
          <w:rFonts w:ascii="微软雅黑" w:hAnsi="微软雅黑" w:eastAsia="微软雅黑" w:cs="微软雅黑"/>
          <w:b/>
          <w:sz w:val="24"/>
        </w:rPr>
      </w:pPr>
      <w:r>
        <w:rPr>
          <w:rFonts w:hint="eastAsia" w:ascii="微软雅黑" w:hAnsi="微软雅黑" w:eastAsia="微软雅黑" w:cs="微软雅黑"/>
          <w:b/>
          <w:sz w:val="24"/>
        </w:rPr>
        <w:t>混凝土工程流程图。</w:t>
      </w:r>
    </w:p>
    <w:p>
      <w:pPr>
        <w:numPr>
          <w:ilvl w:val="1"/>
          <w:numId w:val="3"/>
        </w:numPr>
        <w:spacing w:line="360" w:lineRule="auto"/>
        <w:ind w:firstLine="11"/>
        <w:rPr>
          <w:rFonts w:hint="eastAsia" w:ascii="微软雅黑" w:hAnsi="微软雅黑" w:eastAsia="微软雅黑" w:cs="微软雅黑"/>
          <w:b/>
          <w:sz w:val="24"/>
          <w:szCs w:val="22"/>
        </w:rPr>
      </w:pPr>
      <w:r>
        <w:rPr>
          <w:rFonts w:hint="eastAsia" w:ascii="微软雅黑" w:hAnsi="微软雅黑" w:eastAsia="微软雅黑" w:cs="微软雅黑"/>
          <w:b/>
          <w:sz w:val="24"/>
        </w:rPr>
        <w:t>商品混凝土搅拌站：搅拌站的选用与</w:t>
      </w:r>
      <w:r>
        <w:rPr>
          <w:rFonts w:ascii="微软雅黑" w:hAnsi="微软雅黑" w:eastAsia="微软雅黑" w:cs="微软雅黑"/>
          <w:b/>
          <w:sz w:val="24"/>
        </w:rPr>
        <w:t>抽查</w:t>
      </w:r>
      <w:r>
        <w:rPr>
          <w:rFonts w:hint="eastAsia" w:ascii="微软雅黑" w:hAnsi="微软雅黑" w:eastAsia="微软雅黑" w:cs="微软雅黑"/>
          <w:b/>
          <w:sz w:val="24"/>
        </w:rPr>
        <w:t>；明确合同签订相关要求。</w:t>
      </w:r>
    </w:p>
    <w:p>
      <w:pPr>
        <w:pStyle w:val="12"/>
        <w:numPr>
          <w:ilvl w:val="1"/>
          <w:numId w:val="3"/>
        </w:numPr>
        <w:spacing w:line="360" w:lineRule="auto"/>
        <w:ind w:firstLine="11" w:firstLineChars="0"/>
        <w:rPr>
          <w:rFonts w:ascii="微软雅黑" w:hAnsi="微软雅黑" w:eastAsia="微软雅黑" w:cs="微软雅黑"/>
          <w:b/>
          <w:sz w:val="24"/>
        </w:rPr>
      </w:pPr>
      <w:r>
        <w:rPr>
          <w:rFonts w:hint="eastAsia" w:ascii="微软雅黑" w:hAnsi="微软雅黑" w:eastAsia="微软雅黑" w:cs="微软雅黑"/>
          <w:b/>
          <w:sz w:val="24"/>
        </w:rPr>
        <w:t>混凝凝土进场、取样：进场查验质量证明文件；试块制作与</w:t>
      </w:r>
      <w:r>
        <w:rPr>
          <w:rFonts w:ascii="微软雅黑" w:hAnsi="微软雅黑" w:eastAsia="微软雅黑" w:cs="微软雅黑"/>
          <w:b/>
          <w:sz w:val="24"/>
        </w:rPr>
        <w:t>养护。</w:t>
      </w:r>
    </w:p>
    <w:p>
      <w:pPr>
        <w:numPr>
          <w:ilvl w:val="1"/>
          <w:numId w:val="3"/>
        </w:numPr>
        <w:spacing w:line="360" w:lineRule="auto"/>
        <w:ind w:firstLine="11"/>
        <w:rPr>
          <w:rFonts w:hint="eastAsia" w:ascii="微软雅黑" w:hAnsi="微软雅黑" w:eastAsia="微软雅黑" w:cs="微软雅黑"/>
          <w:b/>
          <w:sz w:val="24"/>
          <w:szCs w:val="22"/>
        </w:rPr>
      </w:pPr>
      <w:r>
        <w:rPr>
          <w:rFonts w:hint="eastAsia" w:ascii="微软雅黑" w:hAnsi="微软雅黑" w:eastAsia="微软雅黑" w:cs="微软雅黑"/>
          <w:b/>
          <w:sz w:val="24"/>
        </w:rPr>
        <w:t>混凝土浇筑、振捣：混凝土输送；混凝土浇筑前期</w:t>
      </w:r>
      <w:r>
        <w:rPr>
          <w:rFonts w:ascii="微软雅黑" w:hAnsi="微软雅黑" w:eastAsia="微软雅黑" w:cs="微软雅黑"/>
          <w:b/>
          <w:sz w:val="24"/>
        </w:rPr>
        <w:t>检查</w:t>
      </w:r>
      <w:r>
        <w:rPr>
          <w:rFonts w:hint="eastAsia" w:ascii="微软雅黑" w:hAnsi="微软雅黑" w:eastAsia="微软雅黑" w:cs="微软雅黑"/>
          <w:b/>
          <w:sz w:val="24"/>
        </w:rPr>
        <w:t>与注意</w:t>
      </w:r>
      <w:r>
        <w:rPr>
          <w:rFonts w:ascii="微软雅黑" w:hAnsi="微软雅黑" w:eastAsia="微软雅黑" w:cs="微软雅黑"/>
          <w:b/>
          <w:sz w:val="24"/>
        </w:rPr>
        <w:t>事项；</w:t>
      </w:r>
      <w:r>
        <w:rPr>
          <w:rFonts w:hint="eastAsia" w:ascii="微软雅黑" w:hAnsi="微软雅黑" w:eastAsia="微软雅黑" w:cs="微软雅黑"/>
          <w:b/>
          <w:sz w:val="24"/>
        </w:rPr>
        <w:t>振捣</w:t>
      </w:r>
      <w:r>
        <w:rPr>
          <w:rFonts w:hint="eastAsia" w:ascii="微软雅黑" w:hAnsi="微软雅黑" w:eastAsia="微软雅黑" w:cs="微软雅黑"/>
          <w:b/>
          <w:sz w:val="24"/>
          <w:szCs w:val="22"/>
        </w:rPr>
        <w:t>设备及管道</w:t>
      </w:r>
      <w:r>
        <w:rPr>
          <w:rFonts w:ascii="微软雅黑" w:hAnsi="微软雅黑" w:eastAsia="微软雅黑" w:cs="微软雅黑"/>
          <w:b/>
          <w:sz w:val="24"/>
          <w:szCs w:val="22"/>
        </w:rPr>
        <w:t>清洗；</w:t>
      </w:r>
      <w:r>
        <w:rPr>
          <w:rFonts w:hint="eastAsia" w:ascii="微软雅黑" w:hAnsi="微软雅黑" w:eastAsia="微软雅黑" w:cs="微软雅黑"/>
          <w:b/>
          <w:sz w:val="24"/>
          <w:szCs w:val="22"/>
        </w:rPr>
        <w:t>成品</w:t>
      </w:r>
      <w:r>
        <w:rPr>
          <w:rFonts w:ascii="微软雅黑" w:hAnsi="微软雅黑" w:eastAsia="微软雅黑" w:cs="微软雅黑"/>
          <w:b/>
          <w:sz w:val="24"/>
          <w:szCs w:val="22"/>
        </w:rPr>
        <w:t>保护。</w:t>
      </w:r>
    </w:p>
    <w:p>
      <w:pPr>
        <w:pStyle w:val="12"/>
        <w:numPr>
          <w:ilvl w:val="1"/>
          <w:numId w:val="3"/>
        </w:numPr>
        <w:spacing w:line="360" w:lineRule="auto"/>
        <w:ind w:firstLine="11" w:firstLineChars="0"/>
        <w:rPr>
          <w:rFonts w:ascii="微软雅黑" w:hAnsi="微软雅黑" w:eastAsia="微软雅黑" w:cs="微软雅黑"/>
          <w:b/>
          <w:sz w:val="24"/>
        </w:rPr>
      </w:pPr>
      <w:r>
        <w:rPr>
          <w:rFonts w:hint="eastAsia" w:ascii="微软雅黑" w:hAnsi="微软雅黑" w:eastAsia="微软雅黑" w:cs="微软雅黑"/>
          <w:b/>
          <w:sz w:val="24"/>
        </w:rPr>
        <w:t>混凝土养护：养护</w:t>
      </w:r>
      <w:r>
        <w:rPr>
          <w:rFonts w:ascii="微软雅黑" w:hAnsi="微软雅黑" w:eastAsia="微软雅黑" w:cs="微软雅黑"/>
          <w:b/>
          <w:sz w:val="24"/>
        </w:rPr>
        <w:t>时间与</w:t>
      </w:r>
      <w:r>
        <w:rPr>
          <w:rFonts w:hint="eastAsia" w:ascii="微软雅黑" w:hAnsi="微软雅黑" w:eastAsia="微软雅黑" w:cs="微软雅黑"/>
          <w:b/>
          <w:sz w:val="24"/>
        </w:rPr>
        <w:t>方法</w:t>
      </w:r>
      <w:r>
        <w:rPr>
          <w:rFonts w:ascii="微软雅黑" w:hAnsi="微软雅黑" w:eastAsia="微软雅黑" w:cs="微软雅黑"/>
          <w:b/>
          <w:sz w:val="24"/>
        </w:rPr>
        <w:t>。</w:t>
      </w:r>
    </w:p>
    <w:p>
      <w:pPr>
        <w:pStyle w:val="12"/>
        <w:numPr>
          <w:ilvl w:val="1"/>
          <w:numId w:val="3"/>
        </w:numPr>
        <w:spacing w:line="360" w:lineRule="auto"/>
        <w:ind w:firstLine="11" w:firstLineChars="0"/>
        <w:rPr>
          <w:rFonts w:ascii="微软雅黑" w:hAnsi="微软雅黑" w:eastAsia="微软雅黑" w:cs="微软雅黑"/>
          <w:b/>
          <w:sz w:val="24"/>
        </w:rPr>
      </w:pPr>
      <w:r>
        <w:rPr>
          <w:rFonts w:hint="eastAsia" w:ascii="微软雅黑" w:hAnsi="微软雅黑" w:eastAsia="微软雅黑" w:cs="微软雅黑"/>
          <w:b/>
          <w:sz w:val="24"/>
        </w:rPr>
        <w:t>混凝土施工缝：</w:t>
      </w:r>
      <w:r>
        <w:rPr>
          <w:rFonts w:ascii="微软雅黑" w:hAnsi="微软雅黑" w:eastAsia="微软雅黑" w:cs="微软雅黑"/>
          <w:b/>
          <w:sz w:val="24"/>
        </w:rPr>
        <w:t xml:space="preserve"> </w:t>
      </w:r>
      <w:r>
        <w:rPr>
          <w:rFonts w:hint="eastAsia" w:ascii="微软雅黑" w:hAnsi="微软雅黑" w:eastAsia="微软雅黑" w:cs="微软雅黑"/>
          <w:b/>
          <w:sz w:val="24"/>
        </w:rPr>
        <w:t>施工缝留置与</w:t>
      </w:r>
      <w:r>
        <w:rPr>
          <w:rFonts w:ascii="微软雅黑" w:hAnsi="微软雅黑" w:eastAsia="微软雅黑" w:cs="微软雅黑"/>
          <w:b/>
          <w:sz w:val="24"/>
        </w:rPr>
        <w:t>处理。</w:t>
      </w:r>
    </w:p>
    <w:p>
      <w:pPr>
        <w:numPr>
          <w:ilvl w:val="1"/>
          <w:numId w:val="3"/>
        </w:numPr>
        <w:spacing w:line="360" w:lineRule="auto"/>
        <w:ind w:firstLine="11"/>
        <w:rPr>
          <w:rFonts w:hint="eastAsia" w:ascii="微软雅黑" w:hAnsi="微软雅黑" w:eastAsia="微软雅黑" w:cs="微软雅黑"/>
          <w:b/>
          <w:sz w:val="24"/>
          <w:szCs w:val="22"/>
        </w:rPr>
      </w:pPr>
      <w:r>
        <w:rPr>
          <w:rFonts w:hint="eastAsia" w:ascii="微软雅黑" w:hAnsi="微软雅黑" w:eastAsia="微软雅黑" w:cs="微软雅黑"/>
          <w:b/>
          <w:sz w:val="24"/>
        </w:rPr>
        <w:t>特殊混凝土：水下混凝土施工</w:t>
      </w:r>
      <w:r>
        <w:rPr>
          <w:rFonts w:ascii="微软雅黑" w:hAnsi="微软雅黑" w:eastAsia="微软雅黑" w:cs="微软雅黑"/>
          <w:b/>
          <w:sz w:val="24"/>
        </w:rPr>
        <w:t>方法</w:t>
      </w:r>
      <w:r>
        <w:rPr>
          <w:rFonts w:hint="eastAsia" w:ascii="微软雅黑" w:hAnsi="微软雅黑" w:eastAsia="微软雅黑" w:cs="微软雅黑"/>
          <w:b/>
          <w:sz w:val="24"/>
        </w:rPr>
        <w:t>与</w:t>
      </w:r>
      <w:r>
        <w:rPr>
          <w:rFonts w:ascii="微软雅黑" w:hAnsi="微软雅黑" w:eastAsia="微软雅黑" w:cs="微软雅黑"/>
          <w:b/>
          <w:sz w:val="24"/>
        </w:rPr>
        <w:t>技术要求；</w:t>
      </w:r>
      <w:r>
        <w:rPr>
          <w:rFonts w:hint="eastAsia" w:ascii="微软雅黑" w:hAnsi="微软雅黑" w:eastAsia="微软雅黑" w:cs="微软雅黑"/>
          <w:b/>
          <w:sz w:val="24"/>
        </w:rPr>
        <w:t>自密实混凝土配比</w:t>
      </w:r>
      <w:r>
        <w:rPr>
          <w:rFonts w:ascii="微软雅黑" w:hAnsi="微软雅黑" w:eastAsia="微软雅黑" w:cs="微软雅黑"/>
          <w:b/>
          <w:sz w:val="24"/>
        </w:rPr>
        <w:t>设计</w:t>
      </w:r>
      <w:r>
        <w:rPr>
          <w:rFonts w:hint="eastAsia" w:ascii="微软雅黑" w:hAnsi="微软雅黑" w:eastAsia="微软雅黑" w:cs="微软雅黑"/>
          <w:b/>
          <w:sz w:val="24"/>
        </w:rPr>
        <w:t>、</w:t>
      </w:r>
      <w:r>
        <w:rPr>
          <w:rFonts w:ascii="微软雅黑" w:hAnsi="微软雅黑" w:eastAsia="微软雅黑" w:cs="微软雅黑"/>
          <w:b/>
          <w:sz w:val="24"/>
        </w:rPr>
        <w:t>施工</w:t>
      </w:r>
      <w:r>
        <w:rPr>
          <w:rFonts w:hint="eastAsia" w:ascii="微软雅黑" w:hAnsi="微软雅黑" w:eastAsia="微软雅黑" w:cs="微软雅黑"/>
          <w:b/>
          <w:sz w:val="24"/>
        </w:rPr>
        <w:t>技术</w:t>
      </w:r>
      <w:r>
        <w:rPr>
          <w:rFonts w:ascii="微软雅黑" w:hAnsi="微软雅黑" w:eastAsia="微软雅黑" w:cs="微软雅黑"/>
          <w:b/>
          <w:sz w:val="24"/>
        </w:rPr>
        <w:t>要求；</w:t>
      </w:r>
      <w:r>
        <w:rPr>
          <w:rFonts w:hint="eastAsia" w:ascii="微软雅黑" w:hAnsi="微软雅黑" w:eastAsia="微软雅黑" w:cs="微软雅黑"/>
          <w:b/>
          <w:sz w:val="24"/>
        </w:rPr>
        <w:t>透水混凝土结构层施工工艺流程；泡沫混凝土施工方法与</w:t>
      </w:r>
      <w:r>
        <w:rPr>
          <w:rFonts w:ascii="微软雅黑" w:hAnsi="微软雅黑" w:eastAsia="微软雅黑" w:cs="微软雅黑"/>
          <w:b/>
          <w:sz w:val="24"/>
        </w:rPr>
        <w:t>使用特点分析。</w:t>
      </w:r>
    </w:p>
    <w:p>
      <w:pPr>
        <w:numPr>
          <w:ilvl w:val="1"/>
          <w:numId w:val="3"/>
        </w:numPr>
        <w:spacing w:line="360" w:lineRule="auto"/>
        <w:ind w:firstLine="11"/>
        <w:rPr>
          <w:rFonts w:hint="eastAsia" w:ascii="微软雅黑" w:hAnsi="微软雅黑" w:eastAsia="微软雅黑" w:cs="微软雅黑"/>
          <w:b/>
          <w:sz w:val="24"/>
        </w:rPr>
      </w:pPr>
      <w:r>
        <w:rPr>
          <w:rFonts w:hint="eastAsia" w:ascii="微软雅黑" w:hAnsi="微软雅黑" w:eastAsia="微软雅黑" w:cs="微软雅黑"/>
          <w:b/>
          <w:sz w:val="24"/>
        </w:rPr>
        <w:t xml:space="preserve">混凝土实测实量、 允许偏差：混凝土结构拆除模板后的实体质量检查应包括构件的尺寸、位置， 预埋件数量等。 </w:t>
      </w:r>
    </w:p>
    <w:p>
      <w:pPr>
        <w:rPr>
          <w:rFonts w:ascii="微软雅黑" w:hAnsi="微软雅黑" w:eastAsia="微软雅黑" w:cs="微软雅黑"/>
          <w:b/>
          <w:color w:val="FF0000"/>
          <w:sz w:val="24"/>
          <w:szCs w:val="22"/>
        </w:rPr>
      </w:pPr>
      <w:r>
        <w:rPr>
          <w:rFonts w:hint="eastAsia" w:ascii="微软雅黑" w:hAnsi="微软雅黑" w:eastAsia="微软雅黑" w:cs="微软雅黑"/>
          <w:b/>
          <w:color w:val="FF0000"/>
          <w:sz w:val="24"/>
          <w:szCs w:val="22"/>
        </w:rPr>
        <w:t>第三</w:t>
      </w:r>
      <w:r>
        <w:rPr>
          <w:rFonts w:ascii="微软雅黑" w:hAnsi="微软雅黑" w:eastAsia="微软雅黑" w:cs="微软雅黑"/>
          <w:b/>
          <w:color w:val="FF0000"/>
          <w:sz w:val="24"/>
          <w:szCs w:val="22"/>
        </w:rPr>
        <w:t>部分：</w:t>
      </w:r>
      <w:r>
        <w:rPr>
          <w:rFonts w:hint="eastAsia" w:ascii="微软雅黑" w:hAnsi="微软雅黑" w:eastAsia="微软雅黑" w:cs="微软雅黑"/>
          <w:b/>
          <w:color w:val="FF0000"/>
          <w:sz w:val="24"/>
          <w:szCs w:val="22"/>
        </w:rPr>
        <w:t>装配式施工工艺</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相关概念简介:</w:t>
      </w:r>
      <w:r>
        <w:rPr>
          <w:rFonts w:hint="eastAsia"/>
          <w:b/>
        </w:rPr>
        <w:t xml:space="preserve"> </w:t>
      </w:r>
      <w:r>
        <w:rPr>
          <w:rFonts w:hint="eastAsia" w:ascii="微软雅黑" w:hAnsi="微软雅黑" w:eastAsia="微软雅黑" w:cs="微软雅黑"/>
          <w:b/>
          <w:sz w:val="24"/>
          <w:szCs w:val="22"/>
        </w:rPr>
        <w:t>预制装配式建筑含义</w:t>
      </w:r>
      <w:r>
        <w:rPr>
          <w:rFonts w:ascii="微软雅黑" w:hAnsi="微软雅黑" w:eastAsia="微软雅黑" w:cs="微软雅黑"/>
          <w:b/>
          <w:sz w:val="24"/>
          <w:szCs w:val="22"/>
        </w:rPr>
        <w:t>；</w:t>
      </w:r>
      <w:r>
        <w:rPr>
          <w:rFonts w:hint="eastAsia" w:ascii="微软雅黑" w:hAnsi="微软雅黑" w:eastAsia="微软雅黑" w:cs="微软雅黑"/>
          <w:b/>
          <w:sz w:val="24"/>
          <w:szCs w:val="22"/>
        </w:rPr>
        <w:t>混凝土预制构件（PC）；装配整体式混凝土结构；预制保温墙体、建筑信息模型（BIM）。　</w:t>
      </w:r>
      <w:r>
        <w:rPr>
          <w:rFonts w:ascii="微软雅黑" w:hAnsi="微软雅黑" w:eastAsia="微软雅黑" w:cs="微软雅黑"/>
          <w:b/>
          <w:sz w:val="24"/>
          <w:szCs w:val="22"/>
        </w:rPr>
        <w:t xml:space="preserve"> </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编制背景：建筑产业现代化概述；建筑工业化标准体系；案例</w:t>
      </w:r>
      <w:r>
        <w:rPr>
          <w:rFonts w:ascii="微软雅黑" w:hAnsi="微软雅黑" w:eastAsia="微软雅黑" w:cs="微软雅黑"/>
          <w:b/>
          <w:sz w:val="24"/>
          <w:szCs w:val="22"/>
        </w:rPr>
        <w:t xml:space="preserve">介绍。 </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一般规定：施工流程；</w:t>
      </w:r>
      <w:r>
        <w:rPr>
          <w:rFonts w:ascii="微软雅黑" w:hAnsi="微软雅黑" w:eastAsia="微软雅黑" w:cs="微软雅黑"/>
          <w:b/>
          <w:sz w:val="24"/>
          <w:szCs w:val="22"/>
        </w:rPr>
        <w:t>基本规定；</w:t>
      </w:r>
      <w:r>
        <w:rPr>
          <w:rFonts w:hint="eastAsia" w:ascii="微软雅黑" w:hAnsi="微软雅黑" w:eastAsia="微软雅黑" w:cs="微软雅黑"/>
          <w:b/>
          <w:sz w:val="24"/>
          <w:szCs w:val="22"/>
        </w:rPr>
        <w:t>进场证明文件的基本要求；工具、人员基本要求。</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原材料：装配式相关原材料规定；原材料及构配件质量管理；外墙板构件制作工艺流程。</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施工准备：技术、场地、安装准备。施工工艺简介：建筑整体装配阶段工艺介绍。</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构件进场：预制构件进场时的质量要求；构件运输；预制楼板类构件外形尺寸允许偏差及检验方法。</w:t>
      </w:r>
    </w:p>
    <w:p>
      <w:pPr>
        <w:numPr>
          <w:ilvl w:val="0"/>
          <w:numId w:val="4"/>
        </w:numPr>
        <w:spacing w:line="360" w:lineRule="auto"/>
        <w:ind w:hanging="49"/>
        <w:rPr>
          <w:rFonts w:ascii="微软雅黑" w:hAnsi="微软雅黑" w:eastAsia="微软雅黑" w:cs="微软雅黑"/>
          <w:b/>
          <w:sz w:val="24"/>
          <w:szCs w:val="22"/>
        </w:rPr>
      </w:pPr>
      <w:r>
        <w:rPr>
          <w:rFonts w:hint="eastAsia" w:ascii="微软雅黑" w:hAnsi="微软雅黑" w:eastAsia="微软雅黑" w:cs="微软雅黑"/>
          <w:b/>
          <w:sz w:val="24"/>
          <w:szCs w:val="22"/>
        </w:rPr>
        <w:t>构件安装与连接：预制构件起吊；预制构件临时支撑；预制柱安装流程及规定；预制剪力墙墙板、梁或叠合梁、叠合板、楼梯、阳台板、空调板安装流程及规定；外墙外窗阳台卫生间</w:t>
      </w:r>
      <w:r>
        <w:rPr>
          <w:rFonts w:ascii="微软雅黑" w:hAnsi="微软雅黑" w:eastAsia="微软雅黑" w:cs="微软雅黑"/>
          <w:b/>
          <w:sz w:val="24"/>
          <w:szCs w:val="22"/>
        </w:rPr>
        <w:t>等</w:t>
      </w:r>
      <w:r>
        <w:rPr>
          <w:rFonts w:hint="eastAsia" w:ascii="微软雅黑" w:hAnsi="微软雅黑" w:eastAsia="微软雅黑" w:cs="微软雅黑"/>
          <w:b/>
          <w:sz w:val="24"/>
          <w:szCs w:val="22"/>
        </w:rPr>
        <w:t>防</w:t>
      </w:r>
      <w:r>
        <w:rPr>
          <w:rFonts w:ascii="微软雅黑" w:hAnsi="微软雅黑" w:eastAsia="微软雅黑" w:cs="微软雅黑"/>
          <w:b/>
          <w:sz w:val="24"/>
          <w:szCs w:val="22"/>
        </w:rPr>
        <w:t>渗漏</w:t>
      </w:r>
      <w:r>
        <w:rPr>
          <w:rFonts w:hint="eastAsia" w:ascii="微软雅黑" w:hAnsi="微软雅黑" w:eastAsia="微软雅黑" w:cs="微软雅黑"/>
          <w:b/>
          <w:sz w:val="24"/>
          <w:szCs w:val="22"/>
        </w:rPr>
        <w:t>节点做法及</w:t>
      </w:r>
      <w:r>
        <w:rPr>
          <w:rFonts w:ascii="微软雅黑" w:hAnsi="微软雅黑" w:eastAsia="微软雅黑" w:cs="微软雅黑"/>
          <w:b/>
          <w:sz w:val="24"/>
          <w:szCs w:val="22"/>
        </w:rPr>
        <w:t>案例</w:t>
      </w:r>
      <w:r>
        <w:rPr>
          <w:rFonts w:hint="eastAsia" w:ascii="微软雅黑" w:hAnsi="微软雅黑" w:eastAsia="微软雅黑" w:cs="微软雅黑"/>
          <w:b/>
          <w:sz w:val="24"/>
          <w:szCs w:val="22"/>
        </w:rPr>
        <w:t>；钢筋套筒灌浆连接；后浇混凝土节点。</w:t>
      </w:r>
    </w:p>
    <w:p>
      <w:pPr>
        <w:pStyle w:val="12"/>
        <w:ind w:firstLine="0" w:firstLineChars="0"/>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w:t>
      </w:r>
      <w:r>
        <w:rPr>
          <w:rFonts w:ascii="微软雅黑" w:hAnsi="微软雅黑" w:eastAsia="微软雅黑" w:cs="微软雅黑"/>
          <w:b/>
          <w:color w:val="FF0000"/>
          <w:sz w:val="24"/>
        </w:rPr>
        <w:t>部分</w:t>
      </w:r>
      <w:r>
        <w:rPr>
          <w:rFonts w:hint="eastAsia" w:ascii="微软雅黑" w:hAnsi="微软雅黑" w:eastAsia="微软雅黑" w:cs="微软雅黑"/>
          <w:b/>
          <w:color w:val="FF0000"/>
          <w:sz w:val="24"/>
        </w:rPr>
        <w:t>：二次结构施工工艺</w:t>
      </w:r>
    </w:p>
    <w:p>
      <w:pPr>
        <w:pStyle w:val="12"/>
        <w:numPr>
          <w:ilvl w:val="0"/>
          <w:numId w:val="5"/>
        </w:numPr>
        <w:spacing w:line="360" w:lineRule="auto"/>
        <w:ind w:hanging="169" w:firstLineChars="0"/>
        <w:rPr>
          <w:rFonts w:ascii="微软雅黑" w:hAnsi="微软雅黑" w:eastAsia="微软雅黑" w:cs="微软雅黑"/>
          <w:b/>
          <w:sz w:val="24"/>
        </w:rPr>
      </w:pPr>
      <w:r>
        <w:rPr>
          <w:rFonts w:hint="eastAsia" w:ascii="微软雅黑" w:hAnsi="微软雅黑" w:eastAsia="微软雅黑" w:cs="微软雅黑"/>
          <w:b/>
          <w:sz w:val="24"/>
        </w:rPr>
        <w:t>原材料管理：</w:t>
      </w:r>
      <w:r>
        <w:rPr>
          <w:rFonts w:ascii="微软雅黑" w:hAnsi="微软雅黑" w:eastAsia="微软雅黑" w:cs="微软雅黑"/>
          <w:b/>
          <w:sz w:val="24"/>
        </w:rPr>
        <w:t>一般性规定；</w:t>
      </w:r>
      <w:r>
        <w:rPr>
          <w:rFonts w:hint="eastAsia" w:ascii="微软雅黑" w:hAnsi="微软雅黑" w:eastAsia="微软雅黑" w:cs="微软雅黑"/>
          <w:b/>
          <w:sz w:val="24"/>
        </w:rPr>
        <w:t>水泥、砂、砌块、钢筋及</w:t>
      </w:r>
      <w:r>
        <w:rPr>
          <w:rFonts w:ascii="微软雅黑" w:hAnsi="微软雅黑" w:eastAsia="微软雅黑" w:cs="微软雅黑"/>
          <w:b/>
          <w:sz w:val="24"/>
        </w:rPr>
        <w:t>其它材料的</w:t>
      </w:r>
      <w:r>
        <w:rPr>
          <w:rFonts w:hint="eastAsia" w:ascii="微软雅黑" w:hAnsi="微软雅黑" w:eastAsia="微软雅黑" w:cs="微软雅黑"/>
          <w:b/>
          <w:sz w:val="24"/>
        </w:rPr>
        <w:t>规范</w:t>
      </w:r>
      <w:r>
        <w:rPr>
          <w:rFonts w:ascii="微软雅黑" w:hAnsi="微软雅黑" w:eastAsia="微软雅黑" w:cs="微软雅黑"/>
          <w:b/>
          <w:sz w:val="24"/>
        </w:rPr>
        <w:t>管理。</w:t>
      </w:r>
    </w:p>
    <w:p>
      <w:pPr>
        <w:pStyle w:val="12"/>
        <w:numPr>
          <w:ilvl w:val="0"/>
          <w:numId w:val="5"/>
        </w:numPr>
        <w:spacing w:line="360" w:lineRule="auto"/>
        <w:ind w:hanging="169" w:firstLineChars="0"/>
        <w:rPr>
          <w:rFonts w:ascii="微软雅黑" w:hAnsi="微软雅黑" w:eastAsia="微软雅黑" w:cs="微软雅黑"/>
          <w:b/>
          <w:sz w:val="24"/>
        </w:rPr>
      </w:pPr>
      <w:r>
        <w:rPr>
          <w:rFonts w:hint="eastAsia" w:ascii="微软雅黑" w:hAnsi="微软雅黑" w:eastAsia="微软雅黑" w:cs="微软雅黑"/>
          <w:b/>
          <w:sz w:val="24"/>
        </w:rPr>
        <w:t>砌筑砂浆：砂浆的拌合；砂浆试块制作及养护。</w:t>
      </w:r>
    </w:p>
    <w:p>
      <w:pPr>
        <w:pStyle w:val="12"/>
        <w:numPr>
          <w:ilvl w:val="0"/>
          <w:numId w:val="5"/>
        </w:numPr>
        <w:spacing w:line="360" w:lineRule="auto"/>
        <w:ind w:hanging="169" w:firstLineChars="0"/>
        <w:rPr>
          <w:rFonts w:ascii="微软雅黑" w:hAnsi="微软雅黑" w:eastAsia="微软雅黑" w:cs="微软雅黑"/>
          <w:b/>
          <w:sz w:val="24"/>
        </w:rPr>
      </w:pPr>
      <w:r>
        <w:rPr>
          <w:rFonts w:hint="eastAsia" w:ascii="微软雅黑" w:hAnsi="微软雅黑" w:eastAsia="微软雅黑" w:cs="微软雅黑"/>
          <w:b/>
          <w:sz w:val="24"/>
        </w:rPr>
        <w:t>加气混凝土砌块、轻骨料混凝土小型空心砌块、SN 保温砌块、BM 轻集料砌块：技术准备及材料要求；工艺流程及</w:t>
      </w:r>
      <w:r>
        <w:rPr>
          <w:rFonts w:ascii="微软雅黑" w:hAnsi="微软雅黑" w:eastAsia="微软雅黑" w:cs="微软雅黑"/>
          <w:b/>
          <w:sz w:val="24"/>
        </w:rPr>
        <w:t>操作</w:t>
      </w:r>
      <w:r>
        <w:rPr>
          <w:rFonts w:hint="eastAsia" w:ascii="微软雅黑" w:hAnsi="微软雅黑" w:eastAsia="微软雅黑" w:cs="微软雅黑"/>
          <w:b/>
          <w:sz w:val="24"/>
        </w:rPr>
        <w:t>工艺</w:t>
      </w:r>
      <w:r>
        <w:rPr>
          <w:rFonts w:ascii="微软雅黑" w:hAnsi="微软雅黑" w:eastAsia="微软雅黑" w:cs="微软雅黑"/>
          <w:b/>
          <w:sz w:val="24"/>
        </w:rPr>
        <w:t>；</w:t>
      </w:r>
      <w:r>
        <w:rPr>
          <w:rFonts w:hint="eastAsia" w:ascii="微软雅黑" w:hAnsi="微软雅黑" w:eastAsia="微软雅黑" w:cs="微软雅黑"/>
          <w:b/>
          <w:sz w:val="24"/>
        </w:rPr>
        <w:t>质量验收标准和</w:t>
      </w:r>
      <w:r>
        <w:rPr>
          <w:rFonts w:ascii="微软雅黑" w:hAnsi="微软雅黑" w:eastAsia="微软雅黑" w:cs="微软雅黑"/>
          <w:b/>
          <w:sz w:val="24"/>
        </w:rPr>
        <w:t>预控措施</w:t>
      </w:r>
      <w:r>
        <w:rPr>
          <w:rFonts w:hint="eastAsia" w:ascii="微软雅黑" w:hAnsi="微软雅黑" w:eastAsia="微软雅黑" w:cs="微软雅黑"/>
          <w:b/>
          <w:sz w:val="24"/>
        </w:rPr>
        <w:t>；</w:t>
      </w:r>
      <w:r>
        <w:rPr>
          <w:rFonts w:ascii="微软雅黑" w:hAnsi="微软雅黑" w:eastAsia="微软雅黑" w:cs="微软雅黑"/>
          <w:b/>
          <w:sz w:val="24"/>
        </w:rPr>
        <w:t>形成材料。</w:t>
      </w:r>
    </w:p>
    <w:p>
      <w:pPr>
        <w:pStyle w:val="12"/>
        <w:numPr>
          <w:ilvl w:val="0"/>
          <w:numId w:val="5"/>
        </w:numPr>
        <w:spacing w:line="360" w:lineRule="auto"/>
        <w:ind w:hanging="169" w:firstLineChars="0"/>
        <w:rPr>
          <w:rFonts w:ascii="微软雅黑" w:hAnsi="微软雅黑" w:eastAsia="微软雅黑" w:cs="微软雅黑"/>
          <w:b/>
          <w:sz w:val="24"/>
        </w:rPr>
      </w:pPr>
      <w:r>
        <w:rPr>
          <w:rFonts w:hint="eastAsia" w:ascii="微软雅黑" w:hAnsi="微软雅黑" w:eastAsia="微软雅黑" w:cs="微软雅黑"/>
          <w:b/>
          <w:sz w:val="24"/>
        </w:rPr>
        <w:t>细部节点：混凝土槛台、混凝土 V 型模板、顶砌节点、门窗固定件预埋节点。</w:t>
      </w:r>
    </w:p>
    <w:p>
      <w:pPr>
        <w:pStyle w:val="12"/>
        <w:numPr>
          <w:ilvl w:val="0"/>
          <w:numId w:val="5"/>
        </w:numPr>
        <w:spacing w:line="360" w:lineRule="auto"/>
        <w:ind w:hanging="169" w:firstLineChars="0"/>
        <w:rPr>
          <w:rFonts w:ascii="微软雅黑" w:hAnsi="微软雅黑" w:eastAsia="微软雅黑" w:cs="微软雅黑"/>
          <w:b/>
          <w:sz w:val="24"/>
        </w:rPr>
      </w:pPr>
      <w:r>
        <w:rPr>
          <w:rFonts w:hint="eastAsia" w:ascii="微软雅黑" w:hAnsi="微软雅黑" w:eastAsia="微软雅黑" w:cs="微软雅黑"/>
          <w:b/>
          <w:sz w:val="24"/>
        </w:rPr>
        <w:t>季节性施工：雨期施工、冬季施工相关</w:t>
      </w:r>
      <w:r>
        <w:rPr>
          <w:rFonts w:ascii="微软雅黑" w:hAnsi="微软雅黑" w:eastAsia="微软雅黑" w:cs="微软雅黑"/>
          <w:b/>
          <w:sz w:val="24"/>
        </w:rPr>
        <w:t>规定和技术要求。</w:t>
      </w:r>
    </w:p>
    <w:p>
      <w:pPr>
        <w:adjustRightInd w:val="0"/>
        <w:snapToGrid w:val="0"/>
        <w:spacing w:line="288" w:lineRule="auto"/>
        <w:ind w:left="1418" w:hanging="169"/>
        <w:jc w:val="center"/>
        <w:rPr>
          <w:rFonts w:ascii="微软雅黑" w:hAnsi="微软雅黑" w:eastAsia="微软雅黑" w:cs="宋体"/>
          <w:b/>
          <w:color w:val="404040"/>
          <w:spacing w:val="10"/>
          <w:szCs w:val="21"/>
        </w:rPr>
      </w:pPr>
      <w:r>
        <w:rPr>
          <w:rFonts w:ascii="微软雅黑" w:hAnsi="微软雅黑" w:eastAsia="微软雅黑" w:cs="微软雅黑"/>
          <w:b/>
          <w:sz w:val="28"/>
          <w:szCs w:val="28"/>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0"/>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5"/>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4"/>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szCs w:val="21"/>
          <w:highlight w:val="yellow"/>
        </w:rPr>
        <w:t>《</w:t>
      </w:r>
      <w:r>
        <w:rPr>
          <w:rFonts w:hint="eastAsia" w:ascii="微软雅黑" w:hAnsi="微软雅黑" w:eastAsia="微软雅黑" w:cs="微软雅黑"/>
          <w:color w:val="404040"/>
          <w:szCs w:val="21"/>
          <w:highlight w:val="yellow"/>
        </w:rPr>
        <w:t>主体结构施工工艺管控要点及实战案例》</w:t>
      </w:r>
      <w:r>
        <w:rPr>
          <w:rFonts w:hint="eastAsia" w:ascii="微软雅黑" w:hAnsi="微软雅黑" w:eastAsia="微软雅黑" w:cs="微软雅黑"/>
          <w:b/>
          <w:color w:val="404040"/>
          <w:szCs w:val="21"/>
          <w:highlight w:val="yellow"/>
        </w:rPr>
        <w:t>（土建工程专业主体结构施工工艺管理提升课程）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D6B3F6A"/>
    <w:multiLevelType w:val="multilevel"/>
    <w:tmpl w:val="1D6B3F6A"/>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43A379AE"/>
    <w:multiLevelType w:val="multilevel"/>
    <w:tmpl w:val="43A379AE"/>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5471437E"/>
    <w:multiLevelType w:val="multilevel"/>
    <w:tmpl w:val="5471437E"/>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3"/>
  </w:num>
  <w:num w:numId="3">
    <w:abstractNumId w:val="7"/>
  </w:num>
  <w:num w:numId="4">
    <w:abstractNumId w:val="6"/>
  </w:num>
  <w:num w:numId="5">
    <w:abstractNumId w:val="2"/>
  </w:num>
  <w:num w:numId="6">
    <w:abstractNumId w:val="4"/>
  </w:num>
  <w:num w:numId="7">
    <w:abstractNumId w:val="12"/>
  </w:num>
  <w:num w:numId="8">
    <w:abstractNumId w:val="0"/>
  </w:num>
  <w:num w:numId="9">
    <w:abstractNumId w:val="5"/>
  </w:num>
  <w:num w:numId="10">
    <w:abstractNumId w:val="11"/>
  </w:num>
  <w:num w:numId="11">
    <w:abstractNumId w:val="9"/>
  </w:num>
  <w:num w:numId="12">
    <w:abstractNumId w:val="1"/>
  </w:num>
  <w:num w:numId="13">
    <w:abstractNumId w:val="9"/>
  </w:num>
  <w:num w:numId="14">
    <w:abstractNumId w:val="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23248"/>
    <w:rsid w:val="00064028"/>
    <w:rsid w:val="00075514"/>
    <w:rsid w:val="00091A7F"/>
    <w:rsid w:val="0009275D"/>
    <w:rsid w:val="00096529"/>
    <w:rsid w:val="000979CB"/>
    <w:rsid w:val="000B6C4B"/>
    <w:rsid w:val="000C6C71"/>
    <w:rsid w:val="000D195B"/>
    <w:rsid w:val="00100B88"/>
    <w:rsid w:val="0011547E"/>
    <w:rsid w:val="00120173"/>
    <w:rsid w:val="0013013A"/>
    <w:rsid w:val="0013535E"/>
    <w:rsid w:val="00140F17"/>
    <w:rsid w:val="001429C5"/>
    <w:rsid w:val="0015199E"/>
    <w:rsid w:val="00151DB4"/>
    <w:rsid w:val="0015295D"/>
    <w:rsid w:val="001745C7"/>
    <w:rsid w:val="001823FF"/>
    <w:rsid w:val="00184C6E"/>
    <w:rsid w:val="00185EEB"/>
    <w:rsid w:val="00191555"/>
    <w:rsid w:val="00192290"/>
    <w:rsid w:val="001961E1"/>
    <w:rsid w:val="001C391F"/>
    <w:rsid w:val="001E0A5E"/>
    <w:rsid w:val="001E6544"/>
    <w:rsid w:val="001F216E"/>
    <w:rsid w:val="001F3EF8"/>
    <w:rsid w:val="002170AA"/>
    <w:rsid w:val="00222A87"/>
    <w:rsid w:val="002434FF"/>
    <w:rsid w:val="00244CE4"/>
    <w:rsid w:val="00247570"/>
    <w:rsid w:val="002555A4"/>
    <w:rsid w:val="00263A6F"/>
    <w:rsid w:val="00277808"/>
    <w:rsid w:val="00286226"/>
    <w:rsid w:val="002877F6"/>
    <w:rsid w:val="0029011D"/>
    <w:rsid w:val="00290A2A"/>
    <w:rsid w:val="00291C6C"/>
    <w:rsid w:val="00291E66"/>
    <w:rsid w:val="002941B6"/>
    <w:rsid w:val="002C08EF"/>
    <w:rsid w:val="002D6EF4"/>
    <w:rsid w:val="002F4073"/>
    <w:rsid w:val="002F64A0"/>
    <w:rsid w:val="002F7D0B"/>
    <w:rsid w:val="0031596C"/>
    <w:rsid w:val="0033554E"/>
    <w:rsid w:val="00350713"/>
    <w:rsid w:val="00351253"/>
    <w:rsid w:val="00351908"/>
    <w:rsid w:val="0035444C"/>
    <w:rsid w:val="00363BA6"/>
    <w:rsid w:val="0036613B"/>
    <w:rsid w:val="00366363"/>
    <w:rsid w:val="00386F07"/>
    <w:rsid w:val="0038765F"/>
    <w:rsid w:val="00396363"/>
    <w:rsid w:val="003A074D"/>
    <w:rsid w:val="003A5BAF"/>
    <w:rsid w:val="003A7457"/>
    <w:rsid w:val="003E619C"/>
    <w:rsid w:val="00404613"/>
    <w:rsid w:val="00407036"/>
    <w:rsid w:val="00423F1E"/>
    <w:rsid w:val="00425A3F"/>
    <w:rsid w:val="00444070"/>
    <w:rsid w:val="00444F0F"/>
    <w:rsid w:val="004554DD"/>
    <w:rsid w:val="00460105"/>
    <w:rsid w:val="00471979"/>
    <w:rsid w:val="004725C0"/>
    <w:rsid w:val="00475856"/>
    <w:rsid w:val="00486FFE"/>
    <w:rsid w:val="00492F72"/>
    <w:rsid w:val="00494044"/>
    <w:rsid w:val="004A11DA"/>
    <w:rsid w:val="004A1970"/>
    <w:rsid w:val="004A1C68"/>
    <w:rsid w:val="004B6865"/>
    <w:rsid w:val="004B7E82"/>
    <w:rsid w:val="004C150C"/>
    <w:rsid w:val="004E1C26"/>
    <w:rsid w:val="005100D5"/>
    <w:rsid w:val="0051455E"/>
    <w:rsid w:val="0051520C"/>
    <w:rsid w:val="00517B4D"/>
    <w:rsid w:val="00520471"/>
    <w:rsid w:val="00531E46"/>
    <w:rsid w:val="00553F13"/>
    <w:rsid w:val="0058697F"/>
    <w:rsid w:val="00596C26"/>
    <w:rsid w:val="00596E95"/>
    <w:rsid w:val="005A0CDB"/>
    <w:rsid w:val="006043B7"/>
    <w:rsid w:val="00620066"/>
    <w:rsid w:val="00633212"/>
    <w:rsid w:val="0067469A"/>
    <w:rsid w:val="00687D03"/>
    <w:rsid w:val="0069591E"/>
    <w:rsid w:val="006D3DEF"/>
    <w:rsid w:val="006E0E13"/>
    <w:rsid w:val="00700518"/>
    <w:rsid w:val="00707C86"/>
    <w:rsid w:val="007348CC"/>
    <w:rsid w:val="007726F3"/>
    <w:rsid w:val="00785A8D"/>
    <w:rsid w:val="007B03E7"/>
    <w:rsid w:val="007C3FBD"/>
    <w:rsid w:val="007D67FE"/>
    <w:rsid w:val="007E27AF"/>
    <w:rsid w:val="007F4482"/>
    <w:rsid w:val="00802A72"/>
    <w:rsid w:val="00814BD4"/>
    <w:rsid w:val="00821D88"/>
    <w:rsid w:val="008235F6"/>
    <w:rsid w:val="00857F09"/>
    <w:rsid w:val="00864CBE"/>
    <w:rsid w:val="00885472"/>
    <w:rsid w:val="008942DA"/>
    <w:rsid w:val="008952AF"/>
    <w:rsid w:val="008D3BB6"/>
    <w:rsid w:val="008E54F5"/>
    <w:rsid w:val="009031C7"/>
    <w:rsid w:val="00924F27"/>
    <w:rsid w:val="009421E2"/>
    <w:rsid w:val="00942F65"/>
    <w:rsid w:val="00955B75"/>
    <w:rsid w:val="0097034A"/>
    <w:rsid w:val="0098252D"/>
    <w:rsid w:val="0098470E"/>
    <w:rsid w:val="009850BB"/>
    <w:rsid w:val="00993554"/>
    <w:rsid w:val="009A6653"/>
    <w:rsid w:val="009D62C8"/>
    <w:rsid w:val="009E7AED"/>
    <w:rsid w:val="009F0DAD"/>
    <w:rsid w:val="009F1F2C"/>
    <w:rsid w:val="009F5577"/>
    <w:rsid w:val="00A0328B"/>
    <w:rsid w:val="00A07440"/>
    <w:rsid w:val="00A236B2"/>
    <w:rsid w:val="00A363DB"/>
    <w:rsid w:val="00A522F0"/>
    <w:rsid w:val="00A54B56"/>
    <w:rsid w:val="00A6583C"/>
    <w:rsid w:val="00A65B19"/>
    <w:rsid w:val="00A76C3F"/>
    <w:rsid w:val="00A80D66"/>
    <w:rsid w:val="00A86084"/>
    <w:rsid w:val="00A8706F"/>
    <w:rsid w:val="00AB6FB7"/>
    <w:rsid w:val="00AC5E27"/>
    <w:rsid w:val="00AF3B0E"/>
    <w:rsid w:val="00B24901"/>
    <w:rsid w:val="00B26918"/>
    <w:rsid w:val="00B41CD2"/>
    <w:rsid w:val="00B648A0"/>
    <w:rsid w:val="00B65FDE"/>
    <w:rsid w:val="00B71905"/>
    <w:rsid w:val="00B825E2"/>
    <w:rsid w:val="00BA370E"/>
    <w:rsid w:val="00BD67F0"/>
    <w:rsid w:val="00BD6A6C"/>
    <w:rsid w:val="00BF4D86"/>
    <w:rsid w:val="00BF7C13"/>
    <w:rsid w:val="00C00C29"/>
    <w:rsid w:val="00C064AA"/>
    <w:rsid w:val="00C4273D"/>
    <w:rsid w:val="00C44ECE"/>
    <w:rsid w:val="00C5318E"/>
    <w:rsid w:val="00C62174"/>
    <w:rsid w:val="00C675A5"/>
    <w:rsid w:val="00C77CBB"/>
    <w:rsid w:val="00C92DE5"/>
    <w:rsid w:val="00CA3002"/>
    <w:rsid w:val="00CB4502"/>
    <w:rsid w:val="00CE2DC1"/>
    <w:rsid w:val="00CF24E5"/>
    <w:rsid w:val="00D05669"/>
    <w:rsid w:val="00D225D1"/>
    <w:rsid w:val="00D352D3"/>
    <w:rsid w:val="00D37612"/>
    <w:rsid w:val="00D660A3"/>
    <w:rsid w:val="00D80988"/>
    <w:rsid w:val="00D80B19"/>
    <w:rsid w:val="00D91AE6"/>
    <w:rsid w:val="00D9536D"/>
    <w:rsid w:val="00DA56A6"/>
    <w:rsid w:val="00DC3C68"/>
    <w:rsid w:val="00DD306B"/>
    <w:rsid w:val="00DE3153"/>
    <w:rsid w:val="00DF631C"/>
    <w:rsid w:val="00E1618F"/>
    <w:rsid w:val="00E331C2"/>
    <w:rsid w:val="00E44D73"/>
    <w:rsid w:val="00E50433"/>
    <w:rsid w:val="00E677AD"/>
    <w:rsid w:val="00E753A9"/>
    <w:rsid w:val="00E90178"/>
    <w:rsid w:val="00E943B1"/>
    <w:rsid w:val="00E94B94"/>
    <w:rsid w:val="00EB2815"/>
    <w:rsid w:val="00ED2A8A"/>
    <w:rsid w:val="00ED65FA"/>
    <w:rsid w:val="00EE02BD"/>
    <w:rsid w:val="00F07422"/>
    <w:rsid w:val="00F21560"/>
    <w:rsid w:val="00F25A99"/>
    <w:rsid w:val="00F3153D"/>
    <w:rsid w:val="00F327BC"/>
    <w:rsid w:val="00F33918"/>
    <w:rsid w:val="00F3594E"/>
    <w:rsid w:val="00F40B52"/>
    <w:rsid w:val="00F772E3"/>
    <w:rsid w:val="00F91CFC"/>
    <w:rsid w:val="00F92274"/>
    <w:rsid w:val="00F934E6"/>
    <w:rsid w:val="00FB14AC"/>
    <w:rsid w:val="00FB1623"/>
    <w:rsid w:val="00FB2BB1"/>
    <w:rsid w:val="00FB5406"/>
    <w:rsid w:val="00FE2EF0"/>
    <w:rsid w:val="00FE71FA"/>
    <w:rsid w:val="00FF0C2C"/>
    <w:rsid w:val="00FF242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73E1A07"/>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4290</Words>
  <Characters>4307</Characters>
  <Lines>31</Lines>
  <Paragraphs>8</Paragraphs>
  <TotalTime>0</TotalTime>
  <ScaleCrop>false</ScaleCrop>
  <LinksUpToDate>false</LinksUpToDate>
  <CharactersWithSpaces>4349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2022-04-22T11:20:00Z</dcterms:created>
  <dc:creator>微软中国</dc:creator>
  <cp:lastModifiedBy>蓉儿</cp:lastModifiedBy>
  <dcterms:modified xsi:type="dcterms:W3CDTF">2023-01-04T08:25:56Z</dcterms:modified>
  <dc:title>在当前房地产行业中，设计管理一直是各地产公司管理的焦点和难点</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C4369498EE7C4C95B3E592FFA55FA462</vt:lpwstr>
  </property>
</Properties>
</file>