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center"/>
        <w:rPr>
          <w:rFonts w:ascii="微软雅黑" w:hAnsi="微软雅黑" w:eastAsia="微软雅黑" w:cs="微软雅黑"/>
          <w:b/>
          <w:bCs/>
          <w:sz w:val="24"/>
        </w:rPr>
      </w:pPr>
      <w:bookmarkStart w:id="9" w:name="_GoBack"/>
      <w:bookmarkEnd w:id="9"/>
      <w:r>
        <w:rPr>
          <w:rFonts w:hint="eastAsia" w:ascii="微软雅黑" w:hAnsi="微软雅黑" w:eastAsia="微软雅黑" w:cs="微软雅黑"/>
          <w:b/>
          <w:bCs/>
          <w:sz w:val="24"/>
        </w:rPr>
        <w:t>标杆房企工程管理之铝模体系的管理要点及实战案例</w:t>
      </w:r>
    </w:p>
    <w:p>
      <w:pPr>
        <w:spacing w:line="480" w:lineRule="exact"/>
        <w:jc w:val="center"/>
        <w:rPr>
          <w:rFonts w:hint="eastAsia" w:ascii="微软雅黑" w:hAnsi="微软雅黑" w:eastAsia="微软雅黑" w:cs="微软雅黑"/>
          <w:b/>
          <w:bCs/>
          <w:sz w:val="24"/>
        </w:rPr>
      </w:pPr>
    </w:p>
    <w:p>
      <w:pPr>
        <w:spacing w:line="440" w:lineRule="exact"/>
        <w:rPr>
          <w:rFonts w:hint="eastAsia" w:ascii="微软雅黑" w:hAnsi="微软雅黑" w:eastAsia="微软雅黑"/>
          <w:b/>
          <w:color w:val="FFFFFF"/>
          <w:sz w:val="24"/>
        </w:rPr>
      </w:pPr>
      <w:r>
        <w:rPr>
          <w:rFonts w:hint="eastAsia" w:ascii="微软雅黑" w:hAnsi="微软雅黑" w:eastAsia="微软雅黑"/>
          <w:b/>
          <w:color w:val="FFFFFF"/>
          <w:sz w:val="24"/>
          <w:highlight w:val="black"/>
        </w:rPr>
        <w:t>【课程背景】</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在当前房地产行业中，很多房企工程管理人员不知道为何要做铝模，要么就是看到别人做，所以我也做；要么就是领导让做，我不得不做；缺乏工程体系化管理经验，纯凭个人经验管项目。铝模体系需要考验工程管理者的前端管理协调组织能力，要求在施工时已经完成全套施工图。在前期工程策划中，忽视了铝模对设计前端的协同要求，仍然按常规的工程管理逻辑进行管理组织，导致结构施工完成后，又出现大量的结构拆改，线管预留预埋调整，费工费时；铝模体系是需要和工程进度管理进行高度关联的工程技术，穿插施工是和铝模体系的最佳进度管理匹配模式。在现场施工过程管理中，仍然采用常规的施工工序和工艺组织铝模施工，导致无法形成穿插流水，出现大量的无效成本浪费，成本部门抵触强烈；或者施工单位按部就班，出现大量低级质量错误，甚至拒绝指令执行；采用铝模体系是希望从根本上解决产品质量和客诉问题的，可是在工程推进过程中，发现原先设想的免抹灰免地坪等干法作业要求施工班组完全无法落地，现场又不得不重回原有项目管理的老路，原定的成本优化全部泡汤；</w:t>
      </w:r>
    </w:p>
    <w:p>
      <w:pPr>
        <w:spacing w:line="480" w:lineRule="exact"/>
        <w:ind w:firstLine="480" w:firstLineChars="200"/>
        <w:rPr>
          <w:rFonts w:hint="eastAsia" w:ascii="微软雅黑" w:hAnsi="微软雅黑" w:eastAsia="微软雅黑" w:cs="微软雅黑"/>
          <w:sz w:val="24"/>
        </w:rPr>
      </w:pPr>
      <w:r>
        <w:rPr>
          <w:rFonts w:hint="eastAsia" w:ascii="微软雅黑" w:hAnsi="微软雅黑" w:eastAsia="微软雅黑" w:cs="微软雅黑"/>
          <w:sz w:val="24"/>
        </w:rPr>
        <w:t>本次课程根据专家2</w:t>
      </w:r>
      <w:r>
        <w:rPr>
          <w:rFonts w:ascii="微软雅黑" w:hAnsi="微软雅黑" w:eastAsia="微软雅黑" w:cs="微软雅黑"/>
          <w:sz w:val="24"/>
        </w:rPr>
        <w:t>3</w:t>
      </w:r>
      <w:r>
        <w:rPr>
          <w:rFonts w:hint="eastAsia" w:ascii="微软雅黑" w:hAnsi="微软雅黑" w:eastAsia="微软雅黑" w:cs="微软雅黑"/>
          <w:sz w:val="24"/>
        </w:rPr>
        <w:t>年的工作经历及经验（10年中建系统工作经历、1</w:t>
      </w:r>
      <w:r>
        <w:rPr>
          <w:rFonts w:ascii="微软雅黑" w:hAnsi="微软雅黑" w:eastAsia="微软雅黑" w:cs="微软雅黑"/>
          <w:sz w:val="24"/>
        </w:rPr>
        <w:t>3</w:t>
      </w:r>
      <w:r>
        <w:rPr>
          <w:rFonts w:hint="eastAsia" w:ascii="微软雅黑" w:hAnsi="微软雅黑" w:eastAsia="微软雅黑" w:cs="微软雅黑"/>
          <w:sz w:val="24"/>
        </w:rPr>
        <w:t>年地产企业管理经历），结合清华大学工程制造业精细化及流程化的管理方法，通过对100多个与工程管理有关的实际操作案例进行情景解剖，导出能够适合大多数地产企业确保工程进度前提下大幅提升产品品质的管理思路和技巧，以及切实落地的手段及措施。</w:t>
      </w:r>
    </w:p>
    <w:p>
      <w:pPr>
        <w:spacing w:line="480" w:lineRule="exact"/>
        <w:ind w:firstLine="480" w:firstLineChars="200"/>
        <w:rPr>
          <w:rFonts w:ascii="微软雅黑" w:hAnsi="微软雅黑" w:eastAsia="微软雅黑" w:cs="微软雅黑"/>
          <w:sz w:val="24"/>
        </w:rPr>
      </w:pPr>
      <w:r>
        <w:rPr>
          <w:rFonts w:hint="eastAsia" w:ascii="微软雅黑" w:hAnsi="微软雅黑" w:eastAsia="微软雅黑" w:cs="微软雅黑"/>
          <w:sz w:val="24"/>
        </w:rPr>
        <w:t>本次课程特点是将标杆地产企业工程管理的实战经验与清华大学制造业经典管理理论密切结合，实操案例多、启发性强，同时可与学员有较多的深度互动，通过互动交流来进一步梳理学员的管理思路及实战操作。</w:t>
      </w:r>
    </w:p>
    <w:p>
      <w:pPr>
        <w:spacing w:line="480" w:lineRule="exact"/>
        <w:ind w:firstLine="480" w:firstLineChars="200"/>
        <w:rPr>
          <w:rFonts w:hint="eastAsia" w:ascii="微软雅黑" w:hAnsi="微软雅黑" w:eastAsia="微软雅黑" w:cs="微软雅黑"/>
          <w:color w:val="FF0000"/>
          <w:sz w:val="24"/>
        </w:rPr>
      </w:pP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FFFF"/>
          <w:sz w:val="24"/>
          <w:highlight w:val="black"/>
        </w:rPr>
        <w:t>课程收益：</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深刻理解并体会采用铝模体系的目的——全面提升以客户为关注焦点的产品质量水平；</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理解掌握铝模产品设计管理的重要性和关键要素，以更好的推进全专业铝模设计深化协同，实现铝模设计图纸先行；</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理解掌握铝模产品成本管理的重要性和关键要素，以更好地实现设计管理成本预控，实现铝模产品的价值挖掘和再创造；</w:t>
      </w:r>
    </w:p>
    <w:p>
      <w:pPr>
        <w:numPr>
          <w:ilvl w:val="0"/>
          <w:numId w:val="1"/>
        </w:numPr>
        <w:spacing w:line="480" w:lineRule="exact"/>
        <w:rPr>
          <w:rFonts w:hint="eastAsia" w:ascii="微软雅黑" w:hAnsi="微软雅黑" w:eastAsia="微软雅黑" w:cs="微软雅黑"/>
          <w:sz w:val="24"/>
        </w:rPr>
      </w:pPr>
      <w:r>
        <w:rPr>
          <w:rFonts w:hint="eastAsia" w:ascii="微软雅黑" w:hAnsi="微软雅黑" w:eastAsia="微软雅黑" w:cs="微软雅黑"/>
          <w:sz w:val="24"/>
        </w:rPr>
        <w:t>理解掌握铝模产品工程管理的重要性和关键要素，以更好地保证铝模的生产加工铝模质量预控，将铝模质量问题控制在厂内；</w:t>
      </w:r>
    </w:p>
    <w:p>
      <w:pPr>
        <w:numPr>
          <w:ilvl w:val="0"/>
          <w:numId w:val="1"/>
        </w:numPr>
        <w:spacing w:line="480" w:lineRule="exact"/>
        <w:ind w:left="851" w:hanging="371"/>
        <w:rPr>
          <w:rFonts w:ascii="微软雅黑" w:hAnsi="微软雅黑" w:eastAsia="微软雅黑" w:cs="微软雅黑"/>
          <w:sz w:val="24"/>
        </w:rPr>
      </w:pPr>
      <w:r>
        <w:rPr>
          <w:rFonts w:hint="eastAsia" w:ascii="微软雅黑" w:hAnsi="微软雅黑" w:eastAsia="微软雅黑" w:cs="微软雅黑"/>
          <w:sz w:val="24"/>
        </w:rPr>
        <w:t>理解掌握铝模产品现场管理的重要性和关键要素，以更好的制定合理的全流程铝模施工方案，保证施工现场对供方管理的精准管控；</w:t>
      </w:r>
    </w:p>
    <w:p>
      <w:pPr>
        <w:spacing w:line="480" w:lineRule="exact"/>
        <w:rPr>
          <w:rFonts w:ascii="微软雅黑" w:hAnsi="微软雅黑" w:eastAsia="微软雅黑" w:cs="微软雅黑"/>
          <w:b/>
          <w:color w:val="FFFFFF"/>
          <w:sz w:val="24"/>
          <w:highlight w:val="black"/>
        </w:rPr>
      </w:pPr>
    </w:p>
    <w:p>
      <w:pPr>
        <w:spacing w:line="480" w:lineRule="exact"/>
        <w:rPr>
          <w:rFonts w:hint="eastAsia" w:ascii="微软雅黑" w:hAnsi="微软雅黑" w:eastAsia="微软雅黑" w:cs="微软雅黑"/>
          <w:sz w:val="24"/>
        </w:rPr>
      </w:pPr>
      <w:r>
        <w:rPr>
          <w:lang/>
        </w:rPr>
        <mc:AlternateContent>
          <mc:Choice Requires="wps">
            <w:drawing>
              <wp:anchor distT="0" distB="0" distL="114300" distR="114300" simplePos="0" relativeHeight="251662336" behindDoc="0" locked="0" layoutInCell="1" allowOverlap="1">
                <wp:simplePos x="0" y="0"/>
                <wp:positionH relativeFrom="column">
                  <wp:posOffset>5034915</wp:posOffset>
                </wp:positionH>
                <wp:positionV relativeFrom="paragraph">
                  <wp:posOffset>304800</wp:posOffset>
                </wp:positionV>
                <wp:extent cx="1588770" cy="487680"/>
                <wp:effectExtent l="0" t="0" r="11430" b="0"/>
                <wp:wrapNone/>
                <wp:docPr id="4" name="矩形 6"/>
                <wp:cNvGraphicFramePr/>
                <a:graphic xmlns:a="http://schemas.openxmlformats.org/drawingml/2006/main">
                  <a:graphicData uri="http://schemas.microsoft.com/office/word/2010/wordprocessingShape">
                    <wps:wsp>
                      <wps:cNvSpPr/>
                      <wps:spPr>
                        <a:xfrm>
                          <a:off x="0" y="0"/>
                          <a:ext cx="1588770" cy="487680"/>
                        </a:xfrm>
                        <a:prstGeom prst="rect">
                          <a:avLst/>
                        </a:prstGeom>
                        <a:solidFill>
                          <a:srgbClr val="43BEB9"/>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wps:txbx>
                      <wps:bodyPr wrap="square" upright="1">
                        <a:spAutoFit/>
                      </wps:bodyPr>
                    </wps:wsp>
                  </a:graphicData>
                </a:graphic>
              </wp:anchor>
            </w:drawing>
          </mc:Choice>
          <mc:Fallback>
            <w:pict>
              <v:rect id="矩形 6" o:spid="_x0000_s1026" o:spt="1" style="position:absolute;left:0pt;margin-left:396.45pt;margin-top:24pt;height:38.4pt;width:125.1pt;z-index:251662336;mso-width-relative:page;mso-height-relative:page;" fillcolor="#43BEB9"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工具落地</w:t>
                      </w:r>
                    </w:p>
                  </w:txbxContent>
                </v:textbox>
              </v:rect>
            </w:pict>
          </mc:Fallback>
        </mc:AlternateContent>
      </w:r>
      <w:r>
        <w:rPr>
          <w:lang/>
        </w:rPr>
        <mc:AlternateContent>
          <mc:Choice Requires="wps">
            <w:drawing>
              <wp:anchor distT="0" distB="0" distL="114300" distR="114300" simplePos="0" relativeHeight="251660288" behindDoc="0" locked="0" layoutInCell="1" allowOverlap="1">
                <wp:simplePos x="0" y="0"/>
                <wp:positionH relativeFrom="column">
                  <wp:posOffset>527685</wp:posOffset>
                </wp:positionH>
                <wp:positionV relativeFrom="paragraph">
                  <wp:posOffset>304800</wp:posOffset>
                </wp:positionV>
                <wp:extent cx="1581150" cy="487680"/>
                <wp:effectExtent l="0" t="0" r="3810" b="0"/>
                <wp:wrapNone/>
                <wp:docPr id="2" name="矩形 4"/>
                <wp:cNvGraphicFramePr/>
                <a:graphic xmlns:a="http://schemas.openxmlformats.org/drawingml/2006/main">
                  <a:graphicData uri="http://schemas.microsoft.com/office/word/2010/wordprocessingShape">
                    <wps:wsp>
                      <wps:cNvSpPr/>
                      <wps:spPr>
                        <a:xfrm>
                          <a:off x="0" y="0"/>
                          <a:ext cx="1581150" cy="487680"/>
                        </a:xfrm>
                        <a:prstGeom prst="rect">
                          <a:avLst/>
                        </a:prstGeom>
                        <a:solidFill>
                          <a:srgbClr val="4472C4"/>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wps:txbx>
                      <wps:bodyPr wrap="square" upright="1">
                        <a:spAutoFit/>
                      </wps:bodyPr>
                    </wps:wsp>
                  </a:graphicData>
                </a:graphic>
              </wp:anchor>
            </w:drawing>
          </mc:Choice>
          <mc:Fallback>
            <w:pict>
              <v:rect id="矩形 4" o:spid="_x0000_s1026" o:spt="1" style="position:absolute;left:0pt;margin-left:41.55pt;margin-top:24pt;height:38.4pt;width:124.5pt;z-index:251660288;mso-width-relative:page;mso-height-relative:page;" fillcolor="#4472C4"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要点把控</w:t>
                      </w:r>
                    </w:p>
                  </w:txbxContent>
                </v:textbox>
              </v:rect>
            </w:pict>
          </mc:Fallback>
        </mc:AlternateContent>
      </w:r>
      <w:r>
        <w:rPr>
          <w:rFonts w:hint="eastAsia" w:ascii="微软雅黑" w:hAnsi="微软雅黑" w:eastAsia="微软雅黑" w:cs="微软雅黑"/>
          <w:b/>
          <w:color w:val="FFFFFF"/>
          <w:sz w:val="24"/>
          <w:highlight w:val="black"/>
        </w:rPr>
        <w:t>课程要点：</w:t>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s">
            <w:drawing>
              <wp:anchor distT="0" distB="0" distL="114300" distR="114300" simplePos="0" relativeHeight="251663360" behindDoc="0" locked="0" layoutInCell="1" allowOverlap="1">
                <wp:simplePos x="0" y="0"/>
                <wp:positionH relativeFrom="column">
                  <wp:posOffset>4618355</wp:posOffset>
                </wp:positionH>
                <wp:positionV relativeFrom="paragraph">
                  <wp:posOffset>105410</wp:posOffset>
                </wp:positionV>
                <wp:extent cx="2408555" cy="883920"/>
                <wp:effectExtent l="0" t="0" r="0" b="0"/>
                <wp:wrapNone/>
                <wp:docPr id="5" name="矩形 7"/>
                <wp:cNvGraphicFramePr/>
                <a:graphic xmlns:a="http://schemas.openxmlformats.org/drawingml/2006/main">
                  <a:graphicData uri="http://schemas.microsoft.com/office/word/2010/wordprocessingShape">
                    <wps:wsp>
                      <wps:cNvSpPr/>
                      <wps:spPr>
                        <a:xfrm>
                          <a:off x="0" y="0"/>
                          <a:ext cx="2408555" cy="883920"/>
                        </a:xfrm>
                        <a:prstGeom prst="rect">
                          <a:avLst/>
                        </a:prstGeom>
                        <a:noFill/>
                        <a:ln>
                          <a:noFill/>
                        </a:ln>
                      </wps:spPr>
                      <wps:txbx>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提供铝模管理过程中切实落地的操作手段及实施措施。</w:t>
                            </w:r>
                          </w:p>
                        </w:txbxContent>
                      </wps:txbx>
                      <wps:bodyPr wrap="square" upright="1">
                        <a:spAutoFit/>
                      </wps:bodyPr>
                    </wps:wsp>
                  </a:graphicData>
                </a:graphic>
              </wp:anchor>
            </w:drawing>
          </mc:Choice>
          <mc:Fallback>
            <w:pict>
              <v:rect id="矩形 7" o:spid="_x0000_s1026" o:spt="1" style="position:absolute;left:0pt;margin-left:363.65pt;margin-top:8.3pt;height:69.6pt;width:189.65pt;z-index:251663360;mso-width-relative:page;mso-height-relative:page;"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312" w:lineRule="auto"/>
                        <w:jc w:val="center"/>
                      </w:pPr>
                      <w:r>
                        <w:rPr>
                          <w:rFonts w:hint="eastAsia" w:ascii="微软雅黑" w:hAnsi="微软雅黑" w:eastAsia="微软雅黑" w:cs="Times New Roman"/>
                          <w:color w:val="000000"/>
                          <w:kern w:val="24"/>
                          <w:sz w:val="28"/>
                          <w:szCs w:val="28"/>
                        </w:rPr>
                        <w:t>提供铝模管理过程中切实落地的操作手段及实施措施。</w:t>
                      </w:r>
                    </w:p>
                  </w:txbxContent>
                </v:textbox>
              </v:rect>
            </w:pict>
          </mc:Fallback>
        </mc:AlternateContent>
      </w:r>
      <w:r>
        <w:rPr>
          <w:rFonts w:ascii="微软雅黑" w:hAnsi="微软雅黑" w:eastAsia="微软雅黑" w:cs="微软雅黑"/>
          <w:sz w:val="24"/>
          <w:lang/>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136525</wp:posOffset>
                </wp:positionV>
                <wp:extent cx="2636520" cy="1280160"/>
                <wp:effectExtent l="0" t="0" r="0" b="0"/>
                <wp:wrapNone/>
                <wp:docPr id="3" name="矩形 5"/>
                <wp:cNvGraphicFramePr/>
                <a:graphic xmlns:a="http://schemas.openxmlformats.org/drawingml/2006/main">
                  <a:graphicData uri="http://schemas.microsoft.com/office/word/2010/wordprocessingShape">
                    <wps:wsp>
                      <wps:cNvSpPr/>
                      <wps:spPr>
                        <a:xfrm>
                          <a:off x="0" y="0"/>
                          <a:ext cx="2636520" cy="1280160"/>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掌握铝模管理的关键要点和实施技巧，以制定合理的项目提升方案。</w:t>
                            </w:r>
                          </w:p>
                        </w:txbxContent>
                      </wps:txbx>
                      <wps:bodyPr wrap="square" upright="1">
                        <a:spAutoFit/>
                      </wps:bodyPr>
                    </wps:wsp>
                  </a:graphicData>
                </a:graphic>
              </wp:anchor>
            </w:drawing>
          </mc:Choice>
          <mc:Fallback>
            <w:pict>
              <v:rect id="矩形 5" o:spid="_x0000_s1026" o:spt="1" style="position:absolute;left:0pt;margin-left:0pt;margin-top:10.75pt;height:100.8pt;width:207.6pt;z-index:251661312;mso-width-relative:page;mso-height-relative:page;"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掌握铝模管理的关键要点和实施技巧，以制定合理的项目提升方案。</w:t>
                      </w:r>
                    </w:p>
                  </w:txbxContent>
                </v:textbox>
              </v:rect>
            </w:pict>
          </mc:Fallback>
        </mc:AlternateContent>
      </w:r>
      <w:r>
        <w:rPr>
          <w:rFonts w:ascii="微软雅黑" w:hAnsi="微软雅黑" w:eastAsia="微软雅黑" w:cs="微软雅黑"/>
          <w:sz w:val="24"/>
          <w:lang/>
        </w:rPr>
        <w:drawing>
          <wp:anchor distT="0" distB="0" distL="114300" distR="114300" simplePos="0" relativeHeight="251659264" behindDoc="0" locked="0" layoutInCell="1" allowOverlap="1">
            <wp:simplePos x="0" y="0"/>
            <wp:positionH relativeFrom="column">
              <wp:posOffset>2145665</wp:posOffset>
            </wp:positionH>
            <wp:positionV relativeFrom="paragraph">
              <wp:posOffset>133985</wp:posOffset>
            </wp:positionV>
            <wp:extent cx="2956560" cy="2944495"/>
            <wp:effectExtent l="0" t="0" r="0" b="12065"/>
            <wp:wrapNone/>
            <wp:docPr id="1" name="图示 3"/>
            <wp:cNvGraphicFramePr/>
            <a:graphic xmlns:a="http://schemas.openxmlformats.org/drawingml/2006/main">
              <a:graphicData uri="http://schemas.openxmlformats.org/drawingml/2006/picture">
                <pic:pic xmlns:pic="http://schemas.openxmlformats.org/drawingml/2006/picture">
                  <pic:nvPicPr>
                    <pic:cNvPr id="1" name="图示 3"/>
                    <pic:cNvPicPr/>
                  </pic:nvPicPr>
                  <pic:blipFill>
                    <a:blip r:embed="rId5"/>
                    <a:stretch>
                      <a:fillRect/>
                    </a:stretch>
                  </pic:blipFill>
                  <pic:spPr>
                    <a:xfrm>
                      <a:off x="0" y="0"/>
                      <a:ext cx="2956560" cy="2944495"/>
                    </a:xfrm>
                    <a:prstGeom prst="rect">
                      <a:avLst/>
                    </a:prstGeom>
                    <a:noFill/>
                    <a:ln>
                      <a:noFill/>
                    </a:ln>
                  </pic:spPr>
                </pic:pic>
              </a:graphicData>
            </a:graphic>
          </wp:anchor>
        </w:drawing>
      </w: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s">
            <w:drawing>
              <wp:anchor distT="0" distB="0" distL="114300" distR="114300" simplePos="0" relativeHeight="251666432" behindDoc="0" locked="0" layoutInCell="1" allowOverlap="1">
                <wp:simplePos x="0" y="0"/>
                <wp:positionH relativeFrom="column">
                  <wp:posOffset>4974590</wp:posOffset>
                </wp:positionH>
                <wp:positionV relativeFrom="paragraph">
                  <wp:posOffset>187325</wp:posOffset>
                </wp:positionV>
                <wp:extent cx="1649095" cy="487680"/>
                <wp:effectExtent l="0" t="0" r="12065" b="0"/>
                <wp:wrapNone/>
                <wp:docPr id="8" name="矩形 10"/>
                <wp:cNvGraphicFramePr/>
                <a:graphic xmlns:a="http://schemas.openxmlformats.org/drawingml/2006/main">
                  <a:graphicData uri="http://schemas.microsoft.com/office/word/2010/wordprocessingShape">
                    <wps:wsp>
                      <wps:cNvSpPr/>
                      <wps:spPr>
                        <a:xfrm>
                          <a:off x="0" y="0"/>
                          <a:ext cx="1649095" cy="487680"/>
                        </a:xfrm>
                        <a:prstGeom prst="rect">
                          <a:avLst/>
                        </a:prstGeom>
                        <a:solidFill>
                          <a:srgbClr val="F8841D"/>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wps:txbx>
                      <wps:bodyPr wrap="square" upright="1">
                        <a:spAutoFit/>
                      </wps:bodyPr>
                    </wps:wsp>
                  </a:graphicData>
                </a:graphic>
              </wp:anchor>
            </w:drawing>
          </mc:Choice>
          <mc:Fallback>
            <w:pict>
              <v:rect id="矩形 10" o:spid="_x0000_s1026" o:spt="1" style="position:absolute;left:0pt;margin-left:391.7pt;margin-top:14.75pt;height:38.4pt;width:129.85pt;z-index:251666432;mso-width-relative:page;mso-height-relative:page;" fillcolor="#F8841D"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资深大咖</w:t>
                      </w:r>
                    </w:p>
                  </w:txbxContent>
                </v:textbox>
              </v:rect>
            </w:pict>
          </mc:Fallback>
        </mc:AlternateContent>
      </w:r>
      <w:r>
        <w:rPr>
          <w:rFonts w:ascii="微软雅黑" w:hAnsi="微软雅黑" w:eastAsia="微软雅黑" w:cs="微软雅黑"/>
          <w:sz w:val="24"/>
          <w:lang/>
        </w:rPr>
        <mc:AlternateContent>
          <mc:Choice Requires="wps">
            <w:drawing>
              <wp:anchor distT="0" distB="0" distL="114300" distR="114300" simplePos="0" relativeHeight="251664384" behindDoc="0" locked="0" layoutInCell="1" allowOverlap="1">
                <wp:simplePos x="0" y="0"/>
                <wp:positionH relativeFrom="column">
                  <wp:posOffset>441325</wp:posOffset>
                </wp:positionH>
                <wp:positionV relativeFrom="paragraph">
                  <wp:posOffset>187960</wp:posOffset>
                </wp:positionV>
                <wp:extent cx="1694815" cy="487680"/>
                <wp:effectExtent l="0" t="0" r="12065" b="0"/>
                <wp:wrapNone/>
                <wp:docPr id="6" name="矩形 8"/>
                <wp:cNvGraphicFramePr/>
                <a:graphic xmlns:a="http://schemas.openxmlformats.org/drawingml/2006/main">
                  <a:graphicData uri="http://schemas.microsoft.com/office/word/2010/wordprocessingShape">
                    <wps:wsp>
                      <wps:cNvSpPr/>
                      <wps:spPr>
                        <a:xfrm>
                          <a:off x="0" y="0"/>
                          <a:ext cx="1694815" cy="487680"/>
                        </a:xfrm>
                        <a:prstGeom prst="rect">
                          <a:avLst/>
                        </a:prstGeom>
                        <a:solidFill>
                          <a:srgbClr val="70AD47"/>
                        </a:solidFill>
                        <a:ln>
                          <a:noFill/>
                        </a:ln>
                      </wps:spPr>
                      <wps:txbx>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wps:txbx>
                      <wps:bodyPr wrap="square" upright="1">
                        <a:spAutoFit/>
                      </wps:bodyPr>
                    </wps:wsp>
                  </a:graphicData>
                </a:graphic>
              </wp:anchor>
            </w:drawing>
          </mc:Choice>
          <mc:Fallback>
            <w:pict>
              <v:rect id="矩形 8" o:spid="_x0000_s1026" o:spt="1" style="position:absolute;left:0pt;margin-left:34.75pt;margin-top:14.8pt;height:38.4pt;width:133.45pt;z-index:251664384;mso-width-relative:page;mso-height-relative:page;" fillcolor="#70AD47" filled="t"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">
                <v:fill on="t" focussize="0,0"/>
                <v:stroke on="f"/>
                <v:imagedata o:title=""/>
                <o:lock v:ext="edit" aspectratio="f"/>
                <v:textbox style="mso-fit-shape-to-text:t;">
                  <w:txbxContent>
                    <w:p>
                      <w:pPr>
                        <w:pStyle w:val="5"/>
                        <w:spacing w:before="0" w:beforeAutospacing="0" w:after="0" w:afterAutospacing="0"/>
                        <w:jc w:val="center"/>
                      </w:pPr>
                      <w:r>
                        <w:rPr>
                          <w:rFonts w:hint="eastAsia" w:ascii="等线" w:hAnsi="等线" w:eastAsia="等线" w:cs="等线"/>
                          <w:b/>
                          <w:bCs/>
                          <w:color w:val="CCE8CF"/>
                          <w:kern w:val="24"/>
                          <w:sz w:val="40"/>
                          <w:szCs w:val="40"/>
                        </w:rPr>
                        <w:t>案例丰富</w:t>
                      </w:r>
                    </w:p>
                  </w:txbxContent>
                </v:textbox>
              </v:rect>
            </w:pict>
          </mc:Fallback>
        </mc:AlternateContent>
      </w:r>
    </w:p>
    <w:p>
      <w:pPr>
        <w:spacing w:line="480" w:lineRule="exact"/>
        <w:rPr>
          <w:rFonts w:ascii="微软雅黑" w:hAnsi="微软雅黑" w:eastAsia="微软雅黑" w:cs="微软雅黑"/>
          <w:sz w:val="24"/>
        </w:rPr>
      </w:pPr>
      <w:r>
        <w:rPr>
          <w:rFonts w:ascii="微软雅黑" w:hAnsi="微软雅黑" w:eastAsia="微软雅黑" w:cs="微软雅黑"/>
          <w:sz w:val="24"/>
          <w:lang/>
        </w:rPr>
        <mc:AlternateContent>
          <mc:Choice Requires="wps">
            <w:drawing>
              <wp:anchor distT="0" distB="0" distL="114300" distR="114300" simplePos="0" relativeHeight="251667456" behindDoc="0" locked="0" layoutInCell="1" allowOverlap="1">
                <wp:simplePos x="0" y="0"/>
                <wp:positionH relativeFrom="column">
                  <wp:posOffset>4655185</wp:posOffset>
                </wp:positionH>
                <wp:positionV relativeFrom="paragraph">
                  <wp:posOffset>299085</wp:posOffset>
                </wp:positionV>
                <wp:extent cx="2371725" cy="883920"/>
                <wp:effectExtent l="0" t="0" r="0" b="0"/>
                <wp:wrapNone/>
                <wp:docPr id="9" name="矩形 11"/>
                <wp:cNvGraphicFramePr/>
                <a:graphic xmlns:a="http://schemas.openxmlformats.org/drawingml/2006/main">
                  <a:graphicData uri="http://schemas.microsoft.com/office/word/2010/wordprocessingShape">
                    <wps:wsp>
                      <wps:cNvSpPr/>
                      <wps:spPr>
                        <a:xfrm>
                          <a:off x="0" y="0"/>
                          <a:ext cx="2371725" cy="883920"/>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wps:txbx>
                      <wps:bodyPr wrap="square" upright="1">
                        <a:spAutoFit/>
                      </wps:bodyPr>
                    </wps:wsp>
                  </a:graphicData>
                </a:graphic>
              </wp:anchor>
            </w:drawing>
          </mc:Choice>
          <mc:Fallback>
            <w:pict>
              <v:rect id="矩形 11" o:spid="_x0000_s1026" o:spt="1" style="position:absolute;left:0pt;margin-left:366.55pt;margin-top:23.55pt;height:69.6pt;width:186.75pt;z-index:251667456;mso-width-relative:page;mso-height-relative:page;"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拥有23年的资深工作经历，操盘多个知名项目。</w:t>
                      </w:r>
                    </w:p>
                  </w:txbxContent>
                </v:textbox>
              </v:rect>
            </w:pict>
          </mc:Fallback>
        </mc:AlternateContent>
      </w:r>
      <w:r>
        <w:rPr>
          <w:rFonts w:ascii="微软雅黑" w:hAnsi="微软雅黑" w:eastAsia="微软雅黑" w:cs="微软雅黑"/>
          <w:sz w:val="24"/>
          <w:lang/>
        </w:rPr>
        <mc:AlternateContent>
          <mc:Choice Requires="wps">
            <w:drawing>
              <wp:anchor distT="0" distB="0" distL="114300" distR="114300" simplePos="0" relativeHeight="251665408" behindDoc="0" locked="0" layoutInCell="1" allowOverlap="1">
                <wp:simplePos x="0" y="0"/>
                <wp:positionH relativeFrom="column">
                  <wp:posOffset>124460</wp:posOffset>
                </wp:positionH>
                <wp:positionV relativeFrom="paragraph">
                  <wp:posOffset>282575</wp:posOffset>
                </wp:positionV>
                <wp:extent cx="2599055" cy="883920"/>
                <wp:effectExtent l="0" t="0" r="0" b="0"/>
                <wp:wrapNone/>
                <wp:docPr id="7" name="矩形 9"/>
                <wp:cNvGraphicFramePr/>
                <a:graphic xmlns:a="http://schemas.openxmlformats.org/drawingml/2006/main">
                  <a:graphicData uri="http://schemas.microsoft.com/office/word/2010/wordprocessingShape">
                    <wps:wsp>
                      <wps:cNvSpPr/>
                      <wps:spPr>
                        <a:xfrm>
                          <a:off x="0" y="0"/>
                          <a:ext cx="2599055" cy="883920"/>
                        </a:xfrm>
                        <a:prstGeom prst="rect">
                          <a:avLst/>
                        </a:prstGeom>
                        <a:noFill/>
                        <a:ln>
                          <a:noFill/>
                        </a:ln>
                      </wps:spPr>
                      <wps:txbx>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wps:txbx>
                      <wps:bodyPr wrap="square" upright="1">
                        <a:spAutoFit/>
                      </wps:bodyPr>
                    </wps:wsp>
                  </a:graphicData>
                </a:graphic>
              </wp:anchor>
            </w:drawing>
          </mc:Choice>
          <mc:Fallback>
            <w:pict>
              <v:rect id="矩形 9" o:spid="_x0000_s1026" o:spt="1" style="position:absolute;left:0pt;margin-left:9.8pt;margin-top:22.25pt;height:69.6pt;width:204.65pt;z-index:251665408;mso-width-relative:page;mso-height-relative:page;" filled="f" stroked="f"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">
                <v:fill on="f" focussize="0,0"/>
                <v:stroke on="f"/>
                <v:imagedata o:title=""/>
                <o:lock v:ext="edit" aspectratio="f"/>
                <v:textbox style="mso-fit-shape-to-text:t;">
                  <w:txbxContent>
                    <w:p>
                      <w:pPr>
                        <w:pStyle w:val="5"/>
                        <w:spacing w:before="0" w:beforeAutospacing="0" w:after="0" w:afterAutospacing="0" w:line="288" w:lineRule="auto"/>
                        <w:jc w:val="center"/>
                      </w:pPr>
                      <w:r>
                        <w:rPr>
                          <w:rFonts w:hint="eastAsia" w:ascii="微软雅黑" w:hAnsi="微软雅黑" w:eastAsia="微软雅黑" w:cs="Times New Roman"/>
                          <w:color w:val="000000"/>
                          <w:kern w:val="24"/>
                          <w:sz w:val="28"/>
                          <w:szCs w:val="28"/>
                        </w:rPr>
                        <w:t>对多个与工程管理有关的实际操作案例进行情景解剖。</w:t>
                      </w:r>
                    </w:p>
                  </w:txbxContent>
                </v:textbox>
              </v:rect>
            </w:pict>
          </mc:Fallback>
        </mc:AlternateContent>
      </w:r>
    </w:p>
    <w:p>
      <w:pPr>
        <w:spacing w:line="480" w:lineRule="exact"/>
        <w:rPr>
          <w:rFonts w:ascii="微软雅黑" w:hAnsi="微软雅黑" w:eastAsia="微软雅黑" w:cs="微软雅黑"/>
          <w:sz w:val="24"/>
        </w:rPr>
      </w:pPr>
    </w:p>
    <w:p>
      <w:pPr>
        <w:spacing w:line="480" w:lineRule="exact"/>
        <w:rPr>
          <w:rFonts w:hint="eastAsia" w:ascii="微软雅黑" w:hAnsi="微软雅黑" w:eastAsia="微软雅黑" w:cs="微软雅黑"/>
          <w:sz w:val="24"/>
        </w:rPr>
      </w:pPr>
    </w:p>
    <w:p>
      <w:pPr>
        <w:spacing w:line="480" w:lineRule="exact"/>
        <w:rPr>
          <w:rFonts w:ascii="微软雅黑" w:hAnsi="微软雅黑" w:eastAsia="微软雅黑" w:cs="微软雅黑"/>
          <w:b/>
          <w:bCs/>
          <w:color w:val="FF0000"/>
          <w:sz w:val="24"/>
        </w:rPr>
      </w:pPr>
    </w:p>
    <w:p>
      <w:pPr>
        <w:spacing w:line="480" w:lineRule="exact"/>
        <w:rPr>
          <w:rFonts w:ascii="微软雅黑" w:hAnsi="微软雅黑" w:eastAsia="微软雅黑" w:cs="微软雅黑"/>
          <w:b/>
          <w:bCs/>
          <w:color w:val="FF0000"/>
          <w:sz w:val="24"/>
        </w:rPr>
      </w:pPr>
    </w:p>
    <w:p>
      <w:pPr>
        <w:spacing w:line="440" w:lineRule="exact"/>
        <w:rPr>
          <w:rFonts w:hint="eastAsia" w:ascii="微软雅黑" w:hAnsi="微软雅黑" w:eastAsia="微软雅黑" w:cs="微软雅黑"/>
          <w:b/>
          <w:color w:val="FFFFFF"/>
          <w:sz w:val="24"/>
        </w:rPr>
      </w:pPr>
      <w:r>
        <w:rPr>
          <w:rFonts w:hint="eastAsia" w:ascii="微软雅黑" w:hAnsi="微软雅黑" w:eastAsia="微软雅黑" w:cs="微软雅黑"/>
          <w:b/>
          <w:color w:val="FFFFFF"/>
          <w:sz w:val="24"/>
          <w:highlight w:val="black"/>
        </w:rPr>
        <w:t>课程对象：</w:t>
      </w:r>
    </w:p>
    <w:p>
      <w:pPr>
        <w:spacing w:line="480" w:lineRule="exact"/>
        <w:ind w:firstLine="960" w:firstLineChars="400"/>
        <w:rPr>
          <w:rFonts w:hint="eastAsia" w:ascii="微软雅黑" w:hAnsi="微软雅黑" w:eastAsia="微软雅黑" w:cs="微软雅黑"/>
          <w:sz w:val="24"/>
        </w:rPr>
      </w:pPr>
      <w:r>
        <w:rPr>
          <w:rFonts w:hint="eastAsia" w:ascii="微软雅黑" w:hAnsi="微软雅黑" w:eastAsia="微软雅黑" w:cs="微软雅黑"/>
          <w:sz w:val="24"/>
        </w:rPr>
        <w:t>房地产企业董事长、总经理、总工、集团分管工程副总、项目总经理、工程总监、工程部经理成本总监、成本部经理、工程部经理、造价工程师等。</w:t>
      </w:r>
    </w:p>
    <w:p>
      <w:pPr>
        <w:spacing w:line="440" w:lineRule="exact"/>
        <w:rPr>
          <w:rFonts w:hint="eastAsia" w:ascii="微软雅黑" w:hAnsi="微软雅黑" w:eastAsia="微软雅黑" w:cs="微软雅黑"/>
          <w:b/>
          <w:bCs/>
          <w:color w:val="FF0000"/>
          <w:sz w:val="24"/>
        </w:rPr>
      </w:pPr>
    </w:p>
    <w:p>
      <w:pPr>
        <w:widowControl/>
        <w:spacing w:line="440" w:lineRule="exact"/>
        <w:jc w:val="left"/>
        <w:rPr>
          <w:rFonts w:hint="eastAsia"/>
        </w:rPr>
      </w:pPr>
    </w:p>
    <w:p>
      <w:pPr>
        <w:spacing w:line="440" w:lineRule="exact"/>
        <w:rPr>
          <w:rFonts w:hint="eastAsia" w:ascii="微软雅黑" w:hAnsi="微软雅黑" w:eastAsia="微软雅黑" w:cs="微软雅黑"/>
          <w:b/>
          <w:color w:val="FFFFFF"/>
          <w:sz w:val="24"/>
        </w:rPr>
      </w:pPr>
      <w:r>
        <w:rPr>
          <w:rFonts w:hint="eastAsia" w:ascii="微软雅黑" w:hAnsi="微软雅黑" w:eastAsia="微软雅黑" w:cs="微软雅黑"/>
          <w:b/>
          <w:color w:val="FFFFFF"/>
          <w:sz w:val="24"/>
          <w:highlight w:val="black"/>
        </w:rPr>
        <w:t>课程大纲：</w:t>
      </w:r>
    </w:p>
    <w:p>
      <w:pPr>
        <w:spacing w:line="480" w:lineRule="exact"/>
        <w:rPr>
          <w:rFonts w:hint="eastAsia" w:ascii="微软雅黑" w:hAnsi="微软雅黑" w:eastAsia="微软雅黑" w:cs="微软雅黑"/>
          <w:b/>
          <w:color w:val="FF9900"/>
          <w:sz w:val="24"/>
        </w:rPr>
      </w:pPr>
      <w:r>
        <w:rPr>
          <w:rFonts w:hint="eastAsia" w:ascii="微软雅黑" w:hAnsi="微软雅黑" w:eastAsia="微软雅黑" w:cs="微软雅黑"/>
          <w:b/>
          <w:color w:val="FF0000"/>
          <w:sz w:val="24"/>
        </w:rPr>
        <w:t>第一部分：</w:t>
      </w:r>
      <w:r>
        <w:rPr>
          <w:rFonts w:hint="eastAsia" w:ascii="微软雅黑" w:hAnsi="微软雅黑" w:eastAsia="微软雅黑" w:cs="微软雅黑"/>
          <w:b/>
          <w:bCs/>
          <w:color w:val="FF0000"/>
          <w:sz w:val="24"/>
        </w:rPr>
        <w:t>铝模管理现状和困惑</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我们是否经常遇到这样的问题和困惑？</w:t>
      </w:r>
    </w:p>
    <w:p>
      <w:pPr>
        <w:pStyle w:val="13"/>
        <w:numPr>
          <w:ilvl w:val="2"/>
          <w:numId w:val="3"/>
        </w:numPr>
        <w:ind w:left="850" w:leftChars="405" w:firstLine="1" w:firstLineChars="0"/>
        <w:rPr>
          <w:rFonts w:ascii="微软雅黑" w:hAnsi="微软雅黑" w:eastAsia="微软雅黑"/>
          <w:b/>
          <w:sz w:val="24"/>
          <w:szCs w:val="24"/>
        </w:rPr>
      </w:pPr>
      <w:r>
        <w:rPr>
          <w:rFonts w:hint="eastAsia" w:ascii="微软雅黑" w:hAnsi="微软雅黑" w:eastAsia="微软雅黑"/>
          <w:b/>
          <w:sz w:val="24"/>
          <w:szCs w:val="24"/>
        </w:rPr>
        <w:t>铝模成本居高不下，成本部门坚决反对采用推广铝模；找不到好的总包铝模班组；铝模厂家的班组总是说是甲方条件没说清楚；</w:t>
      </w:r>
    </w:p>
    <w:p>
      <w:pPr>
        <w:pStyle w:val="13"/>
        <w:numPr>
          <w:ilvl w:val="2"/>
          <w:numId w:val="3"/>
        </w:numPr>
        <w:ind w:left="850" w:leftChars="405" w:firstLine="1" w:firstLineChars="0"/>
        <w:rPr>
          <w:rFonts w:ascii="微软雅黑" w:hAnsi="微软雅黑" w:eastAsia="微软雅黑"/>
          <w:b/>
          <w:sz w:val="24"/>
          <w:szCs w:val="24"/>
        </w:rPr>
      </w:pPr>
      <w:r>
        <w:rPr>
          <w:rFonts w:hint="eastAsia" w:ascii="微软雅黑" w:hAnsi="微软雅黑" w:eastAsia="微软雅黑"/>
          <w:b/>
          <w:sz w:val="24"/>
          <w:szCs w:val="24"/>
        </w:rPr>
        <w:t>铝模深化图出来，发现和机电施工图总是对不上，精装设计图纸拿到后，发现很多地方点位还需要剔凿拆改；</w:t>
      </w:r>
    </w:p>
    <w:p>
      <w:pPr>
        <w:pStyle w:val="13"/>
        <w:numPr>
          <w:ilvl w:val="2"/>
          <w:numId w:val="3"/>
        </w:numPr>
        <w:ind w:left="850" w:leftChars="405" w:firstLine="1" w:firstLineChars="0"/>
        <w:rPr>
          <w:rFonts w:ascii="微软雅黑" w:hAnsi="微软雅黑" w:eastAsia="微软雅黑"/>
          <w:b/>
          <w:sz w:val="24"/>
          <w:szCs w:val="24"/>
        </w:rPr>
      </w:pPr>
      <w:r>
        <w:rPr>
          <w:rFonts w:hint="eastAsia" w:ascii="微软雅黑" w:hAnsi="微软雅黑" w:eastAsia="微软雅黑"/>
          <w:b/>
          <w:sz w:val="24"/>
          <w:szCs w:val="24"/>
        </w:rPr>
        <w:t>铝模加工完成后，一到现场就装不上；施工中坏板是常事；铝模粘模厉害；做了铝模发现墙面还要粉刷；P</w:t>
      </w:r>
      <w:r>
        <w:rPr>
          <w:rFonts w:ascii="微软雅黑" w:hAnsi="微软雅黑" w:eastAsia="微软雅黑"/>
          <w:b/>
          <w:sz w:val="24"/>
          <w:szCs w:val="24"/>
        </w:rPr>
        <w:t>C</w:t>
      </w:r>
      <w:r>
        <w:rPr>
          <w:rFonts w:hint="eastAsia" w:ascii="微软雅黑" w:hAnsi="微软雅黑" w:eastAsia="微软雅黑"/>
          <w:b/>
          <w:sz w:val="24"/>
          <w:szCs w:val="24"/>
        </w:rPr>
        <w:t>加铝模简直太难干了，线管永远是穿不通的，还需要从地面再走管；</w:t>
      </w:r>
    </w:p>
    <w:p>
      <w:pPr>
        <w:pStyle w:val="13"/>
        <w:numPr>
          <w:ilvl w:val="2"/>
          <w:numId w:val="3"/>
        </w:numPr>
        <w:ind w:left="850" w:leftChars="405" w:firstLine="1" w:firstLineChars="0"/>
        <w:rPr>
          <w:rFonts w:ascii="微软雅黑" w:hAnsi="微软雅黑" w:eastAsia="微软雅黑"/>
          <w:b/>
          <w:sz w:val="24"/>
          <w:szCs w:val="24"/>
        </w:rPr>
      </w:pPr>
      <w:r>
        <w:rPr>
          <w:rFonts w:hint="eastAsia" w:ascii="微软雅黑" w:hAnsi="微软雅黑" w:eastAsia="微软雅黑"/>
          <w:b/>
          <w:sz w:val="24"/>
          <w:szCs w:val="24"/>
        </w:rPr>
        <w:t>我们做铝模的目的究竟是什么？难道只是为了一个没什么用的面子么？</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标杆</w:t>
      </w:r>
      <w:r>
        <w:rPr>
          <w:rFonts w:ascii="微软雅黑" w:hAnsi="微软雅黑" w:eastAsia="微软雅黑"/>
          <w:b/>
          <w:sz w:val="24"/>
          <w:szCs w:val="24"/>
        </w:rPr>
        <w:t>房企工程质量管理理念：工程质量≠施工质量；质量管理≠质量检验</w:t>
      </w:r>
      <w:r>
        <w:rPr>
          <w:rFonts w:hint="eastAsia" w:ascii="微软雅黑" w:hAnsi="微软雅黑" w:eastAsia="微软雅黑"/>
          <w:b/>
          <w:sz w:val="24"/>
          <w:szCs w:val="24"/>
        </w:rPr>
        <w:t>；</w:t>
      </w:r>
      <w:r>
        <w:rPr>
          <w:rFonts w:ascii="微软雅黑" w:hAnsi="微软雅黑" w:eastAsia="微软雅黑"/>
          <w:b/>
          <w:sz w:val="24"/>
          <w:szCs w:val="24"/>
        </w:rPr>
        <w:t>质量管理责任≠工程部门责任；持续改进管理体系</w:t>
      </w:r>
      <w:r>
        <w:rPr>
          <w:rFonts w:hint="eastAsia" w:ascii="微软雅黑" w:hAnsi="微软雅黑" w:eastAsia="微软雅黑"/>
          <w:b/>
          <w:sz w:val="24"/>
          <w:szCs w:val="24"/>
        </w:rPr>
        <w:t>；</w:t>
      </w:r>
    </w:p>
    <w:p>
      <w:pPr>
        <w:pStyle w:val="13"/>
        <w:ind w:left="1270" w:leftChars="605" w:firstLine="0" w:firstLineChars="0"/>
        <w:rPr>
          <w:rFonts w:ascii="微软雅黑" w:hAnsi="微软雅黑" w:eastAsia="微软雅黑"/>
          <w:b/>
          <w:sz w:val="24"/>
          <w:szCs w:val="24"/>
        </w:rPr>
      </w:pPr>
      <w:r>
        <w:rPr>
          <w:rFonts w:hint="eastAsia" w:ascii="微软雅黑" w:hAnsi="微软雅黑" w:eastAsia="微软雅黑"/>
          <w:b/>
          <w:sz w:val="24"/>
          <w:szCs w:val="24"/>
        </w:rPr>
        <w:t>质量管理体系</w:t>
      </w:r>
      <w:r>
        <w:rPr>
          <w:rFonts w:ascii="微软雅黑" w:hAnsi="微软雅黑" w:eastAsia="微软雅黑"/>
          <w:b/>
          <w:sz w:val="24"/>
          <w:szCs w:val="24"/>
        </w:rPr>
        <w:t>=质量系统预控=</w:t>
      </w:r>
      <w:r>
        <w:rPr>
          <w:rFonts w:hint="eastAsia" w:ascii="微软雅黑" w:hAnsi="微软雅黑" w:eastAsia="微软雅黑"/>
          <w:b/>
          <w:sz w:val="24"/>
          <w:szCs w:val="24"/>
        </w:rPr>
        <w:t>设计/材料工艺/运维综合管控;</w:t>
      </w:r>
    </w:p>
    <w:p>
      <w:pPr>
        <w:pStyle w:val="13"/>
        <w:ind w:left="1270" w:leftChars="605" w:firstLine="0" w:firstLineChars="0"/>
        <w:rPr>
          <w:rFonts w:ascii="微软雅黑" w:hAnsi="微软雅黑" w:eastAsia="微软雅黑"/>
          <w:b/>
          <w:sz w:val="24"/>
          <w:szCs w:val="24"/>
        </w:rPr>
      </w:pPr>
      <w:r>
        <w:rPr>
          <w:rFonts w:hint="eastAsia" w:ascii="微软雅黑" w:hAnsi="微软雅黑" w:eastAsia="微软雅黑"/>
          <w:b/>
          <w:sz w:val="24"/>
          <w:szCs w:val="24"/>
        </w:rPr>
        <w:t>工程提出/质量组织/职能</w:t>
      </w:r>
      <w:r>
        <w:rPr>
          <w:rFonts w:ascii="微软雅黑" w:hAnsi="微软雅黑" w:eastAsia="微软雅黑"/>
          <w:b/>
          <w:sz w:val="24"/>
          <w:szCs w:val="24"/>
        </w:rPr>
        <w:t>改进</w:t>
      </w:r>
      <w:r>
        <w:rPr>
          <w:rFonts w:hint="eastAsia" w:ascii="微软雅黑" w:hAnsi="微软雅黑" w:eastAsia="微软雅黑"/>
          <w:b/>
          <w:sz w:val="24"/>
          <w:szCs w:val="24"/>
        </w:rPr>
        <w:t>/物业</w:t>
      </w:r>
      <w:r>
        <w:rPr>
          <w:rFonts w:ascii="微软雅黑" w:hAnsi="微软雅黑" w:eastAsia="微软雅黑"/>
          <w:b/>
          <w:sz w:val="24"/>
          <w:szCs w:val="24"/>
        </w:rPr>
        <w:t>源头</w:t>
      </w:r>
      <w:r>
        <w:rPr>
          <w:rFonts w:hint="eastAsia" w:ascii="微软雅黑" w:hAnsi="微软雅黑" w:eastAsia="微软雅黑"/>
          <w:b/>
          <w:sz w:val="24"/>
          <w:szCs w:val="24"/>
        </w:rPr>
        <w:t>/客户</w:t>
      </w:r>
      <w:r>
        <w:rPr>
          <w:rFonts w:ascii="微软雅黑" w:hAnsi="微软雅黑" w:eastAsia="微软雅黑"/>
          <w:b/>
          <w:sz w:val="24"/>
          <w:szCs w:val="24"/>
        </w:rPr>
        <w:t>焦点</w:t>
      </w:r>
      <w:r>
        <w:rPr>
          <w:rFonts w:hint="eastAsia" w:ascii="微软雅黑" w:hAnsi="微软雅黑" w:eastAsia="微软雅黑"/>
          <w:b/>
          <w:sz w:val="24"/>
          <w:szCs w:val="24"/>
        </w:rPr>
        <w:t>/图纸</w:t>
      </w:r>
      <w:r>
        <w:rPr>
          <w:rFonts w:ascii="微软雅黑" w:hAnsi="微软雅黑" w:eastAsia="微软雅黑"/>
          <w:b/>
          <w:sz w:val="24"/>
          <w:szCs w:val="24"/>
        </w:rPr>
        <w:t>优先</w:t>
      </w:r>
      <w:r>
        <w:rPr>
          <w:rFonts w:hint="eastAsia" w:ascii="微软雅黑" w:hAnsi="微软雅黑" w:eastAsia="微软雅黑"/>
          <w:b/>
          <w:sz w:val="24"/>
          <w:szCs w:val="24"/>
        </w:rPr>
        <w:t>/设计</w:t>
      </w:r>
      <w:r>
        <w:rPr>
          <w:rFonts w:ascii="微软雅黑" w:hAnsi="微软雅黑" w:eastAsia="微软雅黑"/>
          <w:b/>
          <w:sz w:val="24"/>
          <w:szCs w:val="24"/>
        </w:rPr>
        <w:t>龙头</w:t>
      </w:r>
      <w:r>
        <w:rPr>
          <w:rFonts w:hint="eastAsia" w:ascii="微软雅黑" w:hAnsi="微软雅黑" w:eastAsia="微软雅黑"/>
          <w:b/>
          <w:sz w:val="24"/>
          <w:szCs w:val="24"/>
        </w:rPr>
        <w:t>;</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质量</w:t>
      </w:r>
      <w:r>
        <w:rPr>
          <w:rFonts w:ascii="微软雅黑" w:hAnsi="微软雅黑" w:eastAsia="微软雅黑"/>
          <w:b/>
          <w:sz w:val="24"/>
          <w:szCs w:val="24"/>
        </w:rPr>
        <w:t>观点对比；传统房企质量管理观点</w:t>
      </w:r>
      <w:r>
        <w:rPr>
          <w:rFonts w:hint="eastAsia" w:ascii="微软雅黑" w:hAnsi="微软雅黑" w:eastAsia="微软雅黑"/>
          <w:b/>
          <w:sz w:val="24"/>
          <w:szCs w:val="24"/>
        </w:rPr>
        <w:t>/标杆</w:t>
      </w:r>
      <w:r>
        <w:rPr>
          <w:rFonts w:ascii="微软雅黑" w:hAnsi="微软雅黑" w:eastAsia="微软雅黑"/>
          <w:b/>
          <w:sz w:val="24"/>
          <w:szCs w:val="24"/>
        </w:rPr>
        <w:t>房企质量管理观</w:t>
      </w:r>
      <w:r>
        <w:rPr>
          <w:rFonts w:hint="eastAsia" w:ascii="微软雅黑" w:hAnsi="微软雅黑" w:eastAsia="微软雅黑"/>
          <w:b/>
          <w:sz w:val="24"/>
          <w:szCs w:val="24"/>
        </w:rPr>
        <w:t>点；</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设计</w:t>
      </w:r>
      <w:r>
        <w:rPr>
          <w:rFonts w:ascii="微软雅黑" w:hAnsi="微软雅黑" w:eastAsia="微软雅黑"/>
          <w:b/>
          <w:sz w:val="24"/>
          <w:szCs w:val="24"/>
        </w:rPr>
        <w:t>品质和效果对客户的重要性分析</w:t>
      </w:r>
      <w:r>
        <w:rPr>
          <w:rFonts w:hint="eastAsia" w:ascii="微软雅黑" w:hAnsi="微软雅黑" w:eastAsia="微软雅黑"/>
          <w:b/>
          <w:sz w:val="24"/>
          <w:szCs w:val="24"/>
        </w:rPr>
        <w:t>；</w:t>
      </w:r>
    </w:p>
    <w:p>
      <w:pPr>
        <w:pStyle w:val="13"/>
        <w:ind w:left="1260" w:leftChars="600" w:firstLine="0" w:firstLineChars="0"/>
        <w:rPr>
          <w:rFonts w:ascii="微软雅黑" w:hAnsi="微软雅黑" w:eastAsia="微软雅黑"/>
          <w:b/>
          <w:bCs/>
          <w:sz w:val="24"/>
          <w:szCs w:val="24"/>
        </w:rPr>
      </w:pPr>
      <w:r>
        <w:rPr>
          <w:rFonts w:hint="eastAsia" w:ascii="微软雅黑" w:hAnsi="微软雅黑" w:eastAsia="微软雅黑"/>
          <w:b/>
          <w:bCs/>
          <w:sz w:val="24"/>
          <w:szCs w:val="24"/>
        </w:rPr>
        <w:t>购买阶段价值排序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设计效果＞功能组合＞材料品质＞品牌追求</w:t>
      </w:r>
    </w:p>
    <w:p>
      <w:pPr>
        <w:pStyle w:val="13"/>
        <w:ind w:left="1260" w:leftChars="600" w:firstLine="0" w:firstLineChars="0"/>
        <w:rPr>
          <w:rFonts w:ascii="微软雅黑" w:hAnsi="微软雅黑" w:eastAsia="微软雅黑"/>
          <w:b/>
          <w:bCs/>
          <w:sz w:val="24"/>
          <w:szCs w:val="24"/>
        </w:rPr>
      </w:pPr>
      <w:r>
        <w:rPr>
          <w:rFonts w:hint="eastAsia" w:ascii="微软雅黑" w:hAnsi="微软雅黑" w:eastAsia="微软雅黑"/>
          <w:b/>
          <w:bCs/>
          <w:sz w:val="24"/>
          <w:szCs w:val="24"/>
        </w:rPr>
        <w:t>入住阶段价值排序</w:t>
      </w:r>
      <w:r>
        <w:rPr>
          <w:rFonts w:hint="eastAsia" w:ascii="微软雅黑" w:hAnsi="微软雅黑" w:eastAsia="微软雅黑"/>
          <w:b/>
          <w:sz w:val="24"/>
          <w:szCs w:val="24"/>
        </w:rPr>
        <w:t>：</w:t>
      </w:r>
      <w:r>
        <w:rPr>
          <w:rFonts w:hint="eastAsia" w:ascii="微软雅黑" w:hAnsi="微软雅黑" w:eastAsia="微软雅黑"/>
          <w:b/>
          <w:bCs/>
          <w:sz w:val="24"/>
          <w:szCs w:val="24"/>
        </w:rPr>
        <w:t>功能效果＞材料品质＞设计效果＞品牌追求</w:t>
      </w:r>
    </w:p>
    <w:p>
      <w:pPr>
        <w:pStyle w:val="13"/>
        <w:ind w:left="1260" w:leftChars="600" w:firstLine="0" w:firstLineChars="0"/>
        <w:rPr>
          <w:rFonts w:hint="eastAsia" w:ascii="微软雅黑" w:hAnsi="微软雅黑" w:eastAsia="微软雅黑"/>
          <w:b/>
          <w:sz w:val="24"/>
          <w:szCs w:val="24"/>
        </w:rPr>
      </w:pPr>
      <w:r>
        <w:rPr>
          <w:rFonts w:hint="eastAsia" w:ascii="微软雅黑" w:hAnsi="微软雅黑" w:eastAsia="微软雅黑"/>
          <w:b/>
          <w:sz w:val="24"/>
          <w:szCs w:val="24"/>
        </w:rPr>
        <w:t>80</w:t>
      </w:r>
      <w:r>
        <w:rPr>
          <w:rFonts w:ascii="微软雅黑" w:hAnsi="微软雅黑" w:eastAsia="微软雅黑"/>
          <w:b/>
          <w:sz w:val="24"/>
          <w:szCs w:val="24"/>
        </w:rPr>
        <w:t>%</w:t>
      </w:r>
      <w:r>
        <w:rPr>
          <w:rFonts w:hint="eastAsia" w:ascii="微软雅黑" w:hAnsi="微软雅黑" w:eastAsia="微软雅黑"/>
          <w:b/>
          <w:sz w:val="24"/>
          <w:szCs w:val="24"/>
        </w:rPr>
        <w:t>报修</w:t>
      </w:r>
      <w:r>
        <w:rPr>
          <w:rFonts w:ascii="微软雅黑" w:hAnsi="微软雅黑" w:eastAsia="微软雅黑"/>
          <w:b/>
          <w:sz w:val="24"/>
          <w:szCs w:val="24"/>
        </w:rPr>
        <w:t>问题：</w:t>
      </w:r>
      <w:r>
        <w:rPr>
          <w:rFonts w:hint="eastAsia" w:ascii="微软雅黑" w:hAnsi="微软雅黑" w:eastAsia="微软雅黑"/>
          <w:b/>
          <w:sz w:val="24"/>
          <w:szCs w:val="24"/>
        </w:rPr>
        <w:t>外窗/空鼓/开裂/渗漏/入户门/</w:t>
      </w:r>
      <w:r>
        <w:rPr>
          <w:rFonts w:ascii="微软雅黑" w:hAnsi="微软雅黑" w:eastAsia="微软雅黑"/>
          <w:b/>
          <w:sz w:val="24"/>
          <w:szCs w:val="24"/>
        </w:rPr>
        <w:t>电气</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缺陷</w:t>
      </w:r>
      <w:r>
        <w:rPr>
          <w:rFonts w:ascii="微软雅黑" w:hAnsi="微软雅黑" w:eastAsia="微软雅黑"/>
          <w:b/>
          <w:sz w:val="24"/>
          <w:szCs w:val="24"/>
        </w:rPr>
        <w:t>反馈管控小结：</w:t>
      </w:r>
      <w:r>
        <w:rPr>
          <w:rFonts w:hint="eastAsia" w:ascii="微软雅黑" w:hAnsi="微软雅黑" w:eastAsia="微软雅黑"/>
          <w:b/>
          <w:sz w:val="24"/>
          <w:szCs w:val="24"/>
        </w:rPr>
        <w:t>定量分析找到最佳解决方案/数据优选提炼/施工周期影响质量迭代时间/引进成熟样本迭代，提升满意度；</w:t>
      </w:r>
    </w:p>
    <w:p>
      <w:pPr>
        <w:pStyle w:val="13"/>
        <w:numPr>
          <w:ilvl w:val="1"/>
          <w:numId w:val="2"/>
        </w:numPr>
        <w:ind w:left="851" w:firstLine="0" w:firstLineChars="0"/>
        <w:rPr>
          <w:rFonts w:ascii="微软雅黑" w:hAnsi="微软雅黑" w:eastAsia="微软雅黑"/>
          <w:b/>
          <w:sz w:val="24"/>
          <w:szCs w:val="24"/>
        </w:rPr>
      </w:pPr>
      <w:r>
        <w:rPr>
          <w:rFonts w:hint="eastAsia" w:ascii="微软雅黑" w:hAnsi="微软雅黑" w:eastAsia="微软雅黑"/>
          <w:b/>
          <w:sz w:val="24"/>
          <w:szCs w:val="24"/>
        </w:rPr>
        <w:t>分组讨论并交流；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第二部分：铝模产品设计管理</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sz w:val="24"/>
          <w:szCs w:val="24"/>
        </w:rPr>
        <w:t>工程</w:t>
      </w:r>
      <w:r>
        <w:rPr>
          <w:rFonts w:ascii="微软雅黑" w:hAnsi="微软雅黑" w:eastAsia="微软雅黑"/>
          <w:b/>
          <w:sz w:val="24"/>
          <w:szCs w:val="24"/>
        </w:rPr>
        <w:t>交底会议</w:t>
      </w:r>
      <w:r>
        <w:rPr>
          <w:rFonts w:hint="eastAsia" w:ascii="微软雅黑" w:hAnsi="微软雅黑" w:eastAsia="微软雅黑"/>
          <w:b/>
          <w:sz w:val="24"/>
          <w:szCs w:val="24"/>
        </w:rPr>
        <w:t>内容：</w:t>
      </w:r>
      <w:r>
        <w:rPr>
          <w:rFonts w:hint="eastAsia" w:ascii="微软雅黑" w:hAnsi="微软雅黑" w:eastAsia="微软雅黑"/>
          <w:b/>
          <w:bCs/>
          <w:sz w:val="24"/>
          <w:szCs w:val="24"/>
        </w:rPr>
        <w:t>工程管理策划/缺陷反馈图集/</w:t>
      </w:r>
      <w:r>
        <w:rPr>
          <w:rFonts w:hint="eastAsia" w:ascii="微软雅黑" w:hAnsi="微软雅黑" w:eastAsia="微软雅黑"/>
          <w:b/>
          <w:bCs/>
          <w:sz w:val="24"/>
        </w:rPr>
        <w:t>标准化施工图集</w:t>
      </w:r>
      <w:r>
        <w:rPr>
          <w:rFonts w:hint="eastAsia" w:ascii="微软雅黑" w:hAnsi="微软雅黑" w:eastAsia="微软雅黑"/>
          <w:b/>
          <w:bCs/>
          <w:sz w:val="24"/>
          <w:szCs w:val="24"/>
        </w:rPr>
        <w:t>/技术标准</w:t>
      </w:r>
      <w:r>
        <w:rPr>
          <w:rFonts w:hint="eastAsia" w:ascii="微软雅黑" w:hAnsi="微软雅黑" w:eastAsia="微软雅黑"/>
          <w:b/>
          <w:bCs/>
          <w:sz w:val="24"/>
        </w:rPr>
        <w:t>管理要求，总分包合同条款/质量、进度、成本控制流程和标准/</w:t>
      </w:r>
      <w:r>
        <w:rPr>
          <w:rFonts w:hint="eastAsia" w:ascii="微软雅黑" w:hAnsi="微软雅黑" w:eastAsia="微软雅黑"/>
          <w:b/>
          <w:bCs/>
          <w:sz w:val="24"/>
          <w:szCs w:val="24"/>
        </w:rPr>
        <w:t>安全文明施工管理流程和标准/设计图纸</w:t>
      </w:r>
      <w:r>
        <w:rPr>
          <w:rFonts w:hint="eastAsia" w:ascii="微软雅黑" w:hAnsi="微软雅黑" w:eastAsia="微软雅黑"/>
          <w:b/>
          <w:bCs/>
          <w:sz w:val="24"/>
        </w:rPr>
        <w:t>深化四图；</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工程技术设计交流，明确铝模设计协同工作逻辑；</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深化设计要求——备案签发资料；</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全专业设计协同；</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建筑结构一体化设计，互为条件，互相协同，精准确定，配合最优；</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铝合金模板配模方案图按施工顺序划分内容以及二次结构设计深化要点：两案、三墙、六降、九禁；</w:t>
      </w:r>
    </w:p>
    <w:p>
      <w:pPr>
        <w:pStyle w:val="13"/>
        <w:numPr>
          <w:ilvl w:val="2"/>
          <w:numId w:val="2"/>
        </w:numPr>
        <w:ind w:firstLineChars="0"/>
        <w:jc w:val="left"/>
        <w:rPr>
          <w:rFonts w:hint="eastAsia" w:ascii="微软雅黑" w:hAnsi="微软雅黑" w:eastAsia="微软雅黑"/>
          <w:b/>
          <w:sz w:val="24"/>
          <w:szCs w:val="24"/>
        </w:rPr>
      </w:pPr>
      <w:r>
        <w:rPr>
          <w:rFonts w:hint="eastAsia" w:ascii="微软雅黑" w:hAnsi="微软雅黑" w:eastAsia="微软雅黑"/>
          <w:b/>
          <w:sz w:val="24"/>
          <w:szCs w:val="24"/>
        </w:rPr>
        <w:t>案例：工程技术设计交底会议缺失图审</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bCs/>
          <w:sz w:val="24"/>
        </w:rPr>
        <w:t>四图</w:t>
      </w:r>
      <w:r>
        <w:rPr>
          <w:rFonts w:ascii="微软雅黑" w:hAnsi="微软雅黑" w:eastAsia="微软雅黑"/>
          <w:b/>
          <w:bCs/>
          <w:sz w:val="24"/>
        </w:rPr>
        <w:t>策划</w:t>
      </w:r>
      <w:r>
        <w:rPr>
          <w:rFonts w:hint="eastAsia" w:ascii="微软雅黑" w:hAnsi="微软雅黑" w:eastAsia="微软雅黑"/>
          <w:b/>
          <w:bCs/>
          <w:sz w:val="24"/>
        </w:rPr>
        <w:t>先行</w:t>
      </w:r>
      <w:r>
        <w:rPr>
          <w:rFonts w:ascii="微软雅黑" w:hAnsi="微软雅黑" w:eastAsia="微软雅黑"/>
          <w:b/>
          <w:bCs/>
          <w:sz w:val="24"/>
        </w:rPr>
        <w:t>：深化设计图</w:t>
      </w:r>
      <w:r>
        <w:rPr>
          <w:rFonts w:hint="eastAsia" w:ascii="微软雅黑" w:hAnsi="微软雅黑" w:eastAsia="微软雅黑"/>
          <w:b/>
          <w:bCs/>
          <w:sz w:val="24"/>
        </w:rPr>
        <w:t>/生产</w:t>
      </w:r>
      <w:r>
        <w:rPr>
          <w:rFonts w:ascii="微软雅黑" w:hAnsi="微软雅黑" w:eastAsia="微软雅黑"/>
          <w:b/>
          <w:bCs/>
          <w:sz w:val="24"/>
        </w:rPr>
        <w:t>加工图</w:t>
      </w:r>
      <w:r>
        <w:rPr>
          <w:rFonts w:hint="eastAsia" w:ascii="微软雅黑" w:hAnsi="微软雅黑" w:eastAsia="微软雅黑"/>
          <w:b/>
          <w:bCs/>
          <w:sz w:val="24"/>
        </w:rPr>
        <w:t>/现场</w:t>
      </w:r>
      <w:r>
        <w:rPr>
          <w:rFonts w:ascii="微软雅黑" w:hAnsi="微软雅黑" w:eastAsia="微软雅黑"/>
          <w:b/>
          <w:bCs/>
          <w:sz w:val="24"/>
        </w:rPr>
        <w:t>安装图</w:t>
      </w:r>
      <w:r>
        <w:rPr>
          <w:rFonts w:hint="eastAsia" w:ascii="微软雅黑" w:hAnsi="微软雅黑" w:eastAsia="微软雅黑"/>
          <w:b/>
          <w:bCs/>
          <w:sz w:val="24"/>
        </w:rPr>
        <w:t>/成品</w:t>
      </w:r>
      <w:r>
        <w:rPr>
          <w:rFonts w:ascii="微软雅黑" w:hAnsi="微软雅黑" w:eastAsia="微软雅黑"/>
          <w:b/>
          <w:bCs/>
          <w:sz w:val="24"/>
        </w:rPr>
        <w:t>保护图</w:t>
      </w:r>
      <w:r>
        <w:rPr>
          <w:rFonts w:hint="eastAsia" w:ascii="微软雅黑" w:hAnsi="微软雅黑" w:eastAsia="微软雅黑"/>
          <w:b/>
          <w:bCs/>
          <w:sz w:val="24"/>
        </w:rPr>
        <w:t>；</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案例：现场四图管理缺失案例</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例题</w:t>
      </w:r>
      <w:r>
        <w:rPr>
          <w:rFonts w:ascii="微软雅黑" w:hAnsi="微软雅黑" w:eastAsia="微软雅黑" w:cs="微软雅黑"/>
          <w:b/>
          <w:sz w:val="24"/>
        </w:rPr>
        <w:t>：</w:t>
      </w:r>
      <w:r>
        <w:rPr>
          <w:rFonts w:hint="eastAsia" w:ascii="微软雅黑" w:hAnsi="微软雅黑" w:eastAsia="微软雅黑" w:cs="微软雅黑"/>
          <w:b/>
          <w:bCs/>
          <w:sz w:val="24"/>
        </w:rPr>
        <w:t>工程四图执行例题</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案例：二次结构设计深化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案例：铝模拉片深化设计</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案例：填充墙深化设计</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案例：外墙保温深化设计——大模内置工艺</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案例：免抹灰压槽深化设计</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案例：外墙外窗外飘板设计深化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案例：企口反槛设计深化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案例：窗台企口反槛设计深化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例题：飘窗洞口企口反槛设计深化</w:t>
      </w:r>
    </w:p>
    <w:p>
      <w:pPr>
        <w:pStyle w:val="13"/>
        <w:numPr>
          <w:ilvl w:val="2"/>
          <w:numId w:val="2"/>
        </w:numPr>
        <w:ind w:firstLineChars="0"/>
        <w:jc w:val="left"/>
        <w:rPr>
          <w:rFonts w:hint="eastAsia" w:ascii="微软雅黑" w:hAnsi="微软雅黑" w:eastAsia="微软雅黑" w:cs="微软雅黑"/>
          <w:b/>
          <w:sz w:val="24"/>
        </w:rPr>
      </w:pPr>
      <w:r>
        <w:rPr>
          <w:rFonts w:hint="eastAsia" w:ascii="微软雅黑" w:hAnsi="微软雅黑" w:eastAsia="微软雅黑" w:cs="微软雅黑"/>
          <w:b/>
          <w:bCs/>
          <w:sz w:val="24"/>
        </w:rPr>
        <w:t>案例：门洞过梁深化设计</w:t>
      </w:r>
    </w:p>
    <w:p>
      <w:pPr>
        <w:pStyle w:val="13"/>
        <w:numPr>
          <w:ilvl w:val="2"/>
          <w:numId w:val="2"/>
        </w:numPr>
        <w:ind w:firstLineChars="0"/>
        <w:jc w:val="left"/>
        <w:rPr>
          <w:rFonts w:hint="eastAsia" w:ascii="微软雅黑" w:hAnsi="微软雅黑" w:eastAsia="微软雅黑" w:cs="微软雅黑"/>
          <w:b/>
          <w:sz w:val="24"/>
        </w:rPr>
      </w:pPr>
      <w:r>
        <w:rPr>
          <w:rFonts w:hint="eastAsia" w:ascii="微软雅黑" w:hAnsi="微软雅黑" w:eastAsia="微软雅黑" w:cs="微软雅黑"/>
          <w:b/>
          <w:bCs/>
          <w:sz w:val="24"/>
        </w:rPr>
        <w:t>案例：楼梯间构造柱设计深化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案例：内墙（门，窗）垛设计深化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案例企口反槛设计深化</w:t>
      </w:r>
    </w:p>
    <w:p>
      <w:pPr>
        <w:pStyle w:val="13"/>
        <w:numPr>
          <w:ilvl w:val="2"/>
          <w:numId w:val="2"/>
        </w:numPr>
        <w:ind w:firstLineChars="0"/>
        <w:jc w:val="left"/>
        <w:rPr>
          <w:rFonts w:hint="eastAsia" w:ascii="微软雅黑" w:hAnsi="微软雅黑" w:eastAsia="微软雅黑" w:cs="微软雅黑"/>
          <w:b/>
          <w:sz w:val="24"/>
        </w:rPr>
      </w:pPr>
      <w:r>
        <w:rPr>
          <w:rFonts w:hint="eastAsia" w:ascii="微软雅黑" w:hAnsi="微软雅黑" w:eastAsia="微软雅黑" w:cs="微软雅黑"/>
          <w:b/>
          <w:bCs/>
          <w:sz w:val="24"/>
        </w:rPr>
        <w:t>案例：外墙线条混凝土优化设计</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案例：外墙线条混凝土优化设计</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案例：入户门洞口深化设计</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案例：核心筒墙结构设计深化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案例：填充墙深化设计</w:t>
      </w:r>
    </w:p>
    <w:p>
      <w:pPr>
        <w:pStyle w:val="13"/>
        <w:numPr>
          <w:ilvl w:val="2"/>
          <w:numId w:val="2"/>
        </w:numPr>
        <w:ind w:firstLineChars="0"/>
        <w:jc w:val="left"/>
        <w:rPr>
          <w:rFonts w:ascii="微软雅黑" w:hAnsi="微软雅黑" w:eastAsia="微软雅黑" w:cs="微软雅黑"/>
          <w:b/>
          <w:bCs/>
          <w:sz w:val="24"/>
        </w:rPr>
      </w:pPr>
      <w:r>
        <w:rPr>
          <w:rFonts w:hint="eastAsia" w:ascii="微软雅黑" w:hAnsi="微软雅黑" w:eastAsia="微软雅黑" w:cs="微软雅黑"/>
          <w:b/>
          <w:bCs/>
          <w:sz w:val="24"/>
        </w:rPr>
        <w:t>案例：强弱电预埋盒设计深化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案例：强弱电预留线槽设计深化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案例：水电预埋设计深化</w:t>
      </w:r>
    </w:p>
    <w:p>
      <w:pPr>
        <w:pStyle w:val="13"/>
        <w:numPr>
          <w:ilvl w:val="2"/>
          <w:numId w:val="2"/>
        </w:numPr>
        <w:ind w:firstLineChars="0"/>
        <w:jc w:val="left"/>
        <w:rPr>
          <w:rFonts w:ascii="微软雅黑" w:hAnsi="微软雅黑" w:eastAsia="微软雅黑" w:cs="微软雅黑"/>
          <w:b/>
          <w:sz w:val="24"/>
        </w:rPr>
      </w:pPr>
      <w:r>
        <w:rPr>
          <w:rFonts w:hint="eastAsia" w:ascii="微软雅黑" w:hAnsi="微软雅黑" w:eastAsia="微软雅黑" w:cs="微软雅黑"/>
          <w:b/>
          <w:bCs/>
          <w:sz w:val="24"/>
        </w:rPr>
        <w:t>案例：消防箱墙体结构设计优化</w:t>
      </w:r>
    </w:p>
    <w:p>
      <w:pPr>
        <w:pStyle w:val="13"/>
        <w:numPr>
          <w:ilvl w:val="2"/>
          <w:numId w:val="2"/>
        </w:numPr>
        <w:ind w:firstLineChars="0"/>
        <w:jc w:val="left"/>
        <w:rPr>
          <w:rFonts w:hint="eastAsia" w:ascii="微软雅黑" w:hAnsi="微软雅黑" w:eastAsia="微软雅黑" w:cs="微软雅黑"/>
          <w:b/>
          <w:bCs/>
          <w:sz w:val="24"/>
        </w:rPr>
      </w:pPr>
      <w:r>
        <w:rPr>
          <w:rFonts w:hint="eastAsia" w:ascii="微软雅黑" w:hAnsi="微软雅黑" w:eastAsia="微软雅黑" w:cs="微软雅黑"/>
          <w:b/>
          <w:bCs/>
          <w:sz w:val="24"/>
        </w:rPr>
        <w:t>案例：传料口设计深化</w:t>
      </w:r>
    </w:p>
    <w:p>
      <w:pPr>
        <w:pStyle w:val="13"/>
        <w:numPr>
          <w:ilvl w:val="0"/>
          <w:numId w:val="4"/>
        </w:numPr>
        <w:ind w:firstLineChars="0"/>
        <w:jc w:val="left"/>
        <w:rPr>
          <w:rFonts w:ascii="微软雅黑" w:hAnsi="微软雅黑" w:eastAsia="微软雅黑"/>
          <w:b/>
          <w:bCs/>
          <w:sz w:val="24"/>
        </w:rPr>
      </w:pPr>
      <w:r>
        <w:rPr>
          <w:rFonts w:hint="eastAsia" w:ascii="微软雅黑" w:hAnsi="微软雅黑" w:eastAsia="微软雅黑"/>
          <w:b/>
          <w:sz w:val="24"/>
          <w:szCs w:val="24"/>
        </w:rPr>
        <w:t>分组讨论</w:t>
      </w:r>
      <w:r>
        <w:rPr>
          <w:rFonts w:ascii="微软雅黑" w:hAnsi="微软雅黑" w:eastAsia="微软雅黑"/>
          <w:b/>
          <w:sz w:val="24"/>
          <w:szCs w:val="24"/>
        </w:rPr>
        <w:t>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第三部分：铝模产品成本管理</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铝模现场成本管理体系；</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成本管理价值点1 - 设计管理成本预控</w:t>
      </w:r>
    </w:p>
    <w:p>
      <w:pPr>
        <w:pStyle w:val="13"/>
        <w:numPr>
          <w:ilvl w:val="0"/>
          <w:numId w:val="5"/>
        </w:numPr>
        <w:ind w:firstLineChars="0"/>
        <w:jc w:val="left"/>
        <w:rPr>
          <w:rFonts w:ascii="微软雅黑" w:hAnsi="微软雅黑" w:eastAsia="微软雅黑" w:cs="微软雅黑"/>
          <w:b/>
          <w:sz w:val="24"/>
        </w:rPr>
      </w:pPr>
      <w:r>
        <w:rPr>
          <w:rFonts w:hint="eastAsia" w:ascii="微软雅黑" w:hAnsi="微软雅黑" w:eastAsia="微软雅黑" w:cs="微软雅黑"/>
          <w:b/>
          <w:sz w:val="24"/>
        </w:rPr>
        <w:t>案例：装配式建筑模板成本测算</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装配式建筑模板成本预控要点</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成本管理价值点2 - 施组/方案/总平/计划成本预控</w:t>
      </w:r>
    </w:p>
    <w:p>
      <w:pPr>
        <w:pStyle w:val="13"/>
        <w:numPr>
          <w:ilvl w:val="2"/>
          <w:numId w:val="2"/>
        </w:numPr>
        <w:ind w:firstLineChars="0"/>
        <w:jc w:val="left"/>
        <w:rPr>
          <w:rFonts w:ascii="微软雅黑" w:hAnsi="微软雅黑" w:eastAsia="微软雅黑" w:cs="微软雅黑"/>
          <w:b/>
          <w:bCs/>
          <w:sz w:val="24"/>
        </w:rPr>
      </w:pPr>
      <w:r>
        <w:rPr>
          <w:rFonts w:hint="eastAsia" w:ascii="微软雅黑" w:hAnsi="微软雅黑" w:eastAsia="微软雅黑" w:cs="微软雅黑"/>
          <w:b/>
          <w:bCs/>
          <w:sz w:val="24"/>
        </w:rPr>
        <w:t>例题：铝模穿插施工组织总平面图成本优化</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成本</w:t>
      </w:r>
      <w:r>
        <w:rPr>
          <w:rFonts w:hint="eastAsia" w:ascii="微软雅黑" w:hAnsi="微软雅黑" w:eastAsia="微软雅黑"/>
          <w:b/>
          <w:bCs/>
          <w:sz w:val="24"/>
          <w:szCs w:val="24"/>
        </w:rPr>
        <w:t>管理价值点3 –减少施工成本，铝模优化</w:t>
      </w:r>
    </w:p>
    <w:p>
      <w:pPr>
        <w:pStyle w:val="13"/>
        <w:numPr>
          <w:ilvl w:val="0"/>
          <w:numId w:val="5"/>
        </w:numPr>
        <w:ind w:firstLineChars="0"/>
        <w:jc w:val="left"/>
        <w:rPr>
          <w:rFonts w:ascii="微软雅黑" w:hAnsi="微软雅黑" w:eastAsia="微软雅黑"/>
          <w:b/>
          <w:bCs/>
          <w:sz w:val="24"/>
          <w:szCs w:val="24"/>
        </w:rPr>
      </w:pPr>
      <w:r>
        <w:rPr>
          <w:rFonts w:hint="eastAsia" w:ascii="微软雅黑" w:hAnsi="微软雅黑" w:eastAsia="微软雅黑"/>
          <w:b/>
          <w:bCs/>
          <w:sz w:val="24"/>
          <w:szCs w:val="24"/>
        </w:rPr>
        <w:t>成本管理价值点4 – 工程技术材料部品标准化管理</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成本管理价值点5 – 零变更洽商签证成本预控</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bCs/>
          <w:sz w:val="24"/>
          <w:szCs w:val="24"/>
        </w:rPr>
        <w:t>特急零星工程/让步放行管理（电话/微信，请示/报告，纪要/协议，正式合同）</w:t>
      </w:r>
    </w:p>
    <w:p>
      <w:pPr>
        <w:pStyle w:val="13"/>
        <w:numPr>
          <w:ilvl w:val="0"/>
          <w:numId w:val="5"/>
        </w:numPr>
        <w:ind w:firstLineChars="0"/>
        <w:jc w:val="left"/>
        <w:rPr>
          <w:rFonts w:ascii="微软雅黑" w:hAnsi="微软雅黑" w:eastAsia="微软雅黑"/>
          <w:b/>
          <w:sz w:val="24"/>
          <w:szCs w:val="24"/>
        </w:rPr>
      </w:pPr>
      <w:r>
        <w:rPr>
          <w:rFonts w:hint="eastAsia" w:ascii="微软雅黑" w:hAnsi="微软雅黑" w:eastAsia="微软雅黑"/>
          <w:b/>
          <w:sz w:val="24"/>
          <w:szCs w:val="24"/>
        </w:rPr>
        <w:t>分组讨论与交流</w:t>
      </w:r>
    </w:p>
    <w:p>
      <w:pPr>
        <w:spacing w:line="480" w:lineRule="exact"/>
        <w:rPr>
          <w:rFonts w:hint="eastAsia" w:ascii="微软雅黑" w:hAnsi="微软雅黑" w:eastAsia="微软雅黑" w:cs="微软雅黑"/>
          <w:sz w:val="24"/>
        </w:rPr>
      </w:pPr>
      <w:r>
        <w:rPr>
          <w:rFonts w:hint="eastAsia" w:ascii="微软雅黑" w:hAnsi="微软雅黑" w:eastAsia="微软雅黑" w:cs="微软雅黑"/>
          <w:b/>
          <w:color w:val="FF0000"/>
          <w:sz w:val="24"/>
        </w:rPr>
        <w:t>第四部分：铝模产品工厂管理</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铝模的生产管控——过程内容；</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铝模的生产管控——考察重点；</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铝模厂内试拼装及验收；</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铝模厂内预拼装；</w:t>
      </w:r>
    </w:p>
    <w:p>
      <w:pPr>
        <w:pStyle w:val="13"/>
        <w:numPr>
          <w:ilvl w:val="0"/>
          <w:numId w:val="6"/>
        </w:numPr>
        <w:ind w:hanging="829" w:firstLineChars="0"/>
        <w:jc w:val="left"/>
        <w:rPr>
          <w:rFonts w:ascii="微软雅黑" w:hAnsi="微软雅黑" w:eastAsia="微软雅黑"/>
          <w:b/>
          <w:bCs/>
          <w:sz w:val="24"/>
          <w:szCs w:val="24"/>
        </w:rPr>
      </w:pPr>
      <w:r>
        <w:rPr>
          <w:rFonts w:hint="eastAsia" w:ascii="微软雅黑" w:hAnsi="微软雅黑" w:eastAsia="微软雅黑"/>
          <w:b/>
          <w:bCs/>
          <w:sz w:val="24"/>
          <w:szCs w:val="24"/>
        </w:rPr>
        <w:t>材料进场——货物摆放、卸货；</w:t>
      </w:r>
    </w:p>
    <w:p>
      <w:pPr>
        <w:pStyle w:val="13"/>
        <w:numPr>
          <w:ilvl w:val="0"/>
          <w:numId w:val="6"/>
        </w:numPr>
        <w:ind w:hanging="829" w:firstLineChars="0"/>
        <w:jc w:val="left"/>
        <w:rPr>
          <w:rFonts w:hint="eastAsia" w:ascii="微软雅黑" w:hAnsi="微软雅黑" w:eastAsia="微软雅黑"/>
          <w:b/>
          <w:bCs/>
          <w:sz w:val="24"/>
          <w:szCs w:val="24"/>
        </w:rPr>
      </w:pPr>
      <w:r>
        <w:rPr>
          <w:rFonts w:hint="eastAsia" w:ascii="微软雅黑" w:hAnsi="微软雅黑" w:eastAsia="微软雅黑"/>
          <w:b/>
          <w:bCs/>
          <w:sz w:val="24"/>
          <w:szCs w:val="24"/>
        </w:rPr>
        <w:t>分组讨论与交流</w:t>
      </w:r>
    </w:p>
    <w:p>
      <w:pPr>
        <w:spacing w:line="480" w:lineRule="exact"/>
        <w:rPr>
          <w:rFonts w:hint="eastAsia" w:ascii="微软雅黑" w:hAnsi="微软雅黑" w:eastAsia="微软雅黑" w:cs="微软雅黑"/>
          <w:b/>
          <w:color w:val="FF0000"/>
          <w:sz w:val="24"/>
        </w:rPr>
      </w:pPr>
      <w:r>
        <w:rPr>
          <w:rFonts w:hint="eastAsia" w:ascii="微软雅黑" w:hAnsi="微软雅黑" w:eastAsia="微软雅黑" w:cs="微软雅黑"/>
          <w:b/>
          <w:color w:val="FF0000"/>
          <w:sz w:val="24"/>
        </w:rPr>
        <w:t>第五部分：铝模产品现场</w:t>
      </w:r>
      <w:r>
        <w:rPr>
          <w:rFonts w:ascii="微软雅黑" w:hAnsi="微软雅黑" w:eastAsia="微软雅黑" w:cs="微软雅黑"/>
          <w:b/>
          <w:color w:val="FF0000"/>
          <w:sz w:val="24"/>
        </w:rPr>
        <w:t>管理</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施工准备</w:t>
      </w:r>
    </w:p>
    <w:p>
      <w:pPr>
        <w:pStyle w:val="13"/>
        <w:numPr>
          <w:ilvl w:val="0"/>
          <w:numId w:val="7"/>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 xml:space="preserve">铝模吊装摆放 </w:t>
      </w:r>
    </w:p>
    <w:p>
      <w:pPr>
        <w:pStyle w:val="13"/>
        <w:numPr>
          <w:ilvl w:val="0"/>
          <w:numId w:val="7"/>
        </w:numPr>
        <w:ind w:left="1276" w:hanging="425" w:firstLineChars="0"/>
        <w:jc w:val="left"/>
        <w:rPr>
          <w:rFonts w:ascii="微软雅黑" w:hAnsi="微软雅黑" w:eastAsia="微软雅黑"/>
          <w:b/>
          <w:bCs/>
          <w:sz w:val="24"/>
          <w:szCs w:val="24"/>
        </w:rPr>
      </w:pPr>
      <w:r>
        <w:rPr>
          <w:rFonts w:hint="eastAsia" w:ascii="微软雅黑" w:hAnsi="微软雅黑" w:eastAsia="微软雅黑"/>
          <w:b/>
          <w:bCs/>
          <w:sz w:val="24"/>
          <w:szCs w:val="24"/>
        </w:rPr>
        <w:t xml:space="preserve">吊装的安全要求 </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板楼放线和标高复核</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铝模墙根找平</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铝模定位筋</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标准层施工——总体施工工艺流程</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铝模安装要求</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铝模起步板安装要求</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铝模墙板安装控制要点</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铝模墙柱梁板</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铝模撑块和胶管</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铝模螺杆选型——墙柱模板螺杆加固（外墙、内墙、端部）</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铝模安装销钉要求</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铝模清理</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铝模脱模剂选择</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铝模脱模剂涂刷</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铝模墙柱模板安装</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铝模下角模检查——检查角模是否用水泥封堵</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铝模背楞安装</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铝模支撑加固</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铝模洞口模板加固</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铝模窗台加固</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铝模窗下墙加固</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铝模沉箱加固</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铝模顶板水电安装——安装梁板、顶梁、飘窗</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铝模梁模板安装</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铝模墙柱模安装</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铝模楼面板安装——安装、清理、拆</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楼面板钢筋施工（校正垂直度、平整度及标高，绑扎梁、楼面、飘板钢筋）</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铝模水电精确定位（水电预埋——管线定位、放线定位、有效标识）</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铝模水电管线定位预埋</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检查铝模整栋楼的模板完整性</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墙身板垂直度检查</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铝模全面调校</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浇筑前校正检查——测量数据、最后一次校正垂直度、平整度及标高</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混凝土布料机浇筑</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混凝土浇筑成品保护</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铝模拆除后混凝土的验收</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铝模楼面板拆除</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铝模拆除后垃圾常态化管理（N-</w:t>
      </w:r>
      <w:r>
        <w:rPr>
          <w:rFonts w:ascii="微软雅黑" w:hAnsi="微软雅黑" w:eastAsia="微软雅黑"/>
          <w:b/>
          <w:sz w:val="24"/>
          <w:szCs w:val="24"/>
        </w:rPr>
        <w:t>1</w:t>
      </w:r>
      <w:r>
        <w:rPr>
          <w:rFonts w:hint="eastAsia" w:ascii="微软雅黑" w:hAnsi="微软雅黑" w:eastAsia="微软雅黑"/>
          <w:b/>
          <w:sz w:val="24"/>
          <w:szCs w:val="24"/>
        </w:rPr>
        <w:t>层铝模拆除后，N-</w:t>
      </w:r>
      <w:r>
        <w:rPr>
          <w:rFonts w:ascii="微软雅黑" w:hAnsi="微软雅黑" w:eastAsia="微软雅黑"/>
          <w:b/>
          <w:sz w:val="24"/>
          <w:szCs w:val="24"/>
        </w:rPr>
        <w:t>2</w:t>
      </w:r>
      <w:r>
        <w:rPr>
          <w:rFonts w:hint="eastAsia" w:ascii="微软雅黑" w:hAnsi="微软雅黑" w:eastAsia="微软雅黑"/>
          <w:b/>
          <w:sz w:val="24"/>
          <w:szCs w:val="24"/>
        </w:rPr>
        <w:t>层 立杆拆除后）</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铝模的退场与回收</w:t>
      </w:r>
    </w:p>
    <w:p>
      <w:pPr>
        <w:pStyle w:val="13"/>
        <w:numPr>
          <w:ilvl w:val="0"/>
          <w:numId w:val="7"/>
        </w:numPr>
        <w:ind w:left="1276" w:hanging="425" w:firstLineChars="0"/>
        <w:jc w:val="left"/>
        <w:rPr>
          <w:rFonts w:ascii="微软雅黑" w:hAnsi="微软雅黑" w:eastAsia="微软雅黑"/>
          <w:b/>
          <w:sz w:val="24"/>
          <w:szCs w:val="24"/>
        </w:rPr>
      </w:pPr>
      <w:r>
        <w:rPr>
          <w:rFonts w:hint="eastAsia" w:ascii="微软雅黑" w:hAnsi="微软雅黑" w:eastAsia="微软雅黑"/>
          <w:b/>
          <w:sz w:val="24"/>
          <w:szCs w:val="24"/>
        </w:rPr>
        <w:t>分组讨论与交流</w:t>
      </w:r>
    </w:p>
    <w:p>
      <w:pPr>
        <w:pStyle w:val="13"/>
        <w:ind w:left="851" w:firstLine="0" w:firstLineChars="0"/>
        <w:jc w:val="left"/>
        <w:rPr>
          <w:rFonts w:ascii="微软雅黑" w:hAnsi="微软雅黑" w:eastAsia="微软雅黑"/>
          <w:b/>
          <w:sz w:val="24"/>
          <w:szCs w:val="24"/>
        </w:rPr>
      </w:pPr>
    </w:p>
    <w:p>
      <w:pPr>
        <w:adjustRightInd w:val="0"/>
        <w:snapToGrid w:val="0"/>
        <w:spacing w:line="288" w:lineRule="auto"/>
        <w:jc w:val="center"/>
        <w:rPr>
          <w:rFonts w:ascii="微软雅黑" w:hAnsi="微软雅黑" w:eastAsia="微软雅黑" w:cs="宋体"/>
          <w:b/>
          <w:color w:val="404040"/>
          <w:spacing w:val="10"/>
          <w:szCs w:val="21"/>
        </w:rPr>
      </w:pPr>
      <w:r>
        <w:rPr>
          <w:rFonts w:ascii="微软雅黑" w:hAnsi="微软雅黑" w:eastAsia="微软雅黑"/>
          <w:b/>
          <w:sz w:val="24"/>
        </w:rPr>
        <w:br w:type="page"/>
      </w:r>
      <w:r>
        <w:rPr>
          <w:rFonts w:ascii="微软雅黑" w:hAnsi="微软雅黑" w:eastAsia="微软雅黑" w:cs="宋体"/>
          <w:b/>
          <w:color w:val="404040"/>
          <w:spacing w:val="10"/>
          <w:szCs w:val="21"/>
          <w:lang/>
        </w:rPr>
        <w:drawing>
          <wp:inline distT="0" distB="0" distL="114300" distR="114300">
            <wp:extent cx="6200775" cy="390525"/>
            <wp:effectExtent l="0" t="0" r="1905" b="5715"/>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pic:cNvPicPr>
                  </pic:nvPicPr>
                  <pic:blipFill>
                    <a:blip r:embed="rId6"/>
                    <a:stretch>
                      <a:fillRect/>
                    </a:stretch>
                  </pic:blipFill>
                  <pic:spPr>
                    <a:xfrm>
                      <a:off x="0" y="0"/>
                      <a:ext cx="6200775" cy="390525"/>
                    </a:xfrm>
                    <a:prstGeom prst="rect">
                      <a:avLst/>
                    </a:prstGeom>
                    <a:noFill/>
                    <a:ln>
                      <a:noFill/>
                    </a:ln>
                  </pic:spPr>
                </pic:pic>
              </a:graphicData>
            </a:graphic>
          </wp:inline>
        </w:drawing>
      </w:r>
    </w:p>
    <w:p>
      <w:pPr>
        <w:adjustRightInd w:val="0"/>
        <w:snapToGrid w:val="0"/>
        <w:spacing w:line="288" w:lineRule="auto"/>
        <w:rPr>
          <w:rFonts w:hint="eastAsia" w:ascii="微软雅黑" w:hAnsi="微软雅黑" w:eastAsia="微软雅黑" w:cs="宋体"/>
          <w:b/>
          <w:color w:val="404040"/>
          <w:spacing w:val="10"/>
          <w:szCs w:val="21"/>
        </w:rPr>
      </w:pPr>
    </w:p>
    <w:p>
      <w:pPr>
        <w:adjustRightInd w:val="0"/>
        <w:snapToGrid w:val="0"/>
        <w:spacing w:line="288" w:lineRule="auto"/>
        <w:rPr>
          <w:rFonts w:hint="eastAsia" w:ascii="微软雅黑" w:hAnsi="微软雅黑" w:eastAsia="微软雅黑" w:cs="宋体"/>
          <w:b/>
          <w:bCs/>
          <w:color w:val="404040"/>
          <w:spacing w:val="10"/>
          <w:sz w:val="32"/>
          <w:szCs w:val="32"/>
        </w:rPr>
      </w:pPr>
      <w:r>
        <w:rPr>
          <w:rFonts w:hint="eastAsia" w:ascii="微软雅黑" w:hAnsi="微软雅黑" w:eastAsia="微软雅黑" w:cs="宋体"/>
          <w:b/>
          <w:bCs/>
          <w:color w:val="404040"/>
          <w:spacing w:val="10"/>
          <w:sz w:val="32"/>
          <w:szCs w:val="32"/>
        </w:rPr>
        <w:t>杨帆老师</w:t>
      </w:r>
    </w:p>
    <w:p>
      <w:pPr>
        <w:adjustRightInd w:val="0"/>
        <w:snapToGrid w:val="0"/>
        <w:spacing w:line="288" w:lineRule="auto"/>
        <w:rPr>
          <w:rFonts w:hint="eastAsia" w:ascii="微软雅黑" w:hAnsi="微软雅黑" w:eastAsia="微软雅黑" w:cs="宋体"/>
          <w:b/>
          <w:bCs/>
          <w:color w:val="404040"/>
          <w:spacing w:val="10"/>
          <w:sz w:val="32"/>
          <w:szCs w:val="32"/>
        </w:rPr>
      </w:pPr>
      <w:r>
        <w:rPr>
          <w:rFonts w:ascii="微软雅黑" w:hAnsi="微软雅黑" w:eastAsia="微软雅黑" w:cs="宋体"/>
          <w:b/>
          <w:color w:val="000000"/>
          <w:spacing w:val="10"/>
          <w:sz w:val="32"/>
          <w:szCs w:val="32"/>
          <w:lang/>
        </w:rPr>
        <w:drawing>
          <wp:inline distT="0" distB="0" distL="114300" distR="114300">
            <wp:extent cx="6172200" cy="409575"/>
            <wp:effectExtent l="0" t="0" r="0" b="1905"/>
            <wp:docPr id="11" name="图片 2" descr="职业背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职业背景"/>
                    <pic:cNvPicPr>
                      <a:picLocks noChangeAspect="1"/>
                    </pic:cNvPicPr>
                  </pic:nvPicPr>
                  <pic:blipFill>
                    <a:blip r:embed="rId7"/>
                    <a:stretch>
                      <a:fillRect/>
                    </a:stretch>
                  </pic:blipFill>
                  <pic:spPr>
                    <a:xfrm>
                      <a:off x="0" y="0"/>
                      <a:ext cx="6172200" cy="409575"/>
                    </a:xfrm>
                    <a:prstGeom prst="rect">
                      <a:avLst/>
                    </a:prstGeom>
                    <a:noFill/>
                    <a:ln>
                      <a:noFill/>
                    </a:ln>
                  </pic:spPr>
                </pic:pic>
              </a:graphicData>
            </a:graphic>
          </wp:inline>
        </w:drawing>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原华夏幸福分管（设计/采购/成本/工程/客服/全面质量）副总裁</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原当代节能置业首席工程师（总裁级）</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原山东儒辰集团分管设计副总裁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原当代节能置业工程管理中心/采购成本中心/研发设计中心总经理</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原第一资产董事长助理/总工程师</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原福晟集团工程管理中心总经理</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清华大学工业工程硕士/华中科技大学城市规划专业学士</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高级工程师/注册一级建造师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中国房地产技术联盟总工之家副秘书长 总工之家专家委员会副主任委员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零渗漏专业工作委员会主任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全联房地产商会全装修产业分会首席专家</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中国工程招采协会副秘书长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中国门窗幕墙标准化工作委员会专家委员</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中国金属结构协会钢木门窗委员会专家委员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 xml:space="preserve">中国金属结构协会塑料门窗委员会副主任委员 </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中国建筑玻璃与工业玻璃协会专家委员</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中国塑料工业协会塑料管材委员会副主任委员</w:t>
      </w:r>
    </w:p>
    <w:p>
      <w:pPr>
        <w:pStyle w:val="13"/>
        <w:widowControl/>
        <w:numPr>
          <w:ilvl w:val="0"/>
          <w:numId w:val="8"/>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中国绿色建筑委员会委员</w:t>
      </w:r>
    </w:p>
    <w:p>
      <w:pPr>
        <w:adjustRightInd w:val="0"/>
        <w:snapToGrid w:val="0"/>
        <w:spacing w:before="240" w:line="288" w:lineRule="auto"/>
        <w:rPr>
          <w:rFonts w:hint="eastAsia" w:ascii="微软雅黑" w:hAnsi="微软雅黑" w:eastAsia="微软雅黑" w:cs="宋体"/>
          <w:b/>
          <w:color w:val="404040"/>
          <w:spacing w:val="10"/>
          <w:szCs w:val="21"/>
        </w:rPr>
      </w:pPr>
      <w:r>
        <w:rPr>
          <w:rFonts w:ascii="微软雅黑" w:hAnsi="微软雅黑" w:eastAsia="微软雅黑" w:cs="宋体"/>
          <w:b/>
          <w:color w:val="000000"/>
          <w:spacing w:val="10"/>
          <w:szCs w:val="21"/>
          <w:lang/>
        </w:rPr>
        <w:drawing>
          <wp:inline distT="0" distB="0" distL="114300" distR="114300">
            <wp:extent cx="6191250" cy="409575"/>
            <wp:effectExtent l="0" t="0" r="11430" b="1905"/>
            <wp:docPr id="12"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9"/>
                    <pic:cNvPicPr>
                      <a:picLocks noChangeAspect="1"/>
                    </pic:cNvPicPr>
                  </pic:nvPicPr>
                  <pic:blipFill>
                    <a:blip r:embed="rId8"/>
                    <a:stretch>
                      <a:fillRect/>
                    </a:stretch>
                  </pic:blipFill>
                  <pic:spPr>
                    <a:xfrm>
                      <a:off x="0" y="0"/>
                      <a:ext cx="6191250" cy="409575"/>
                    </a:xfrm>
                    <a:prstGeom prst="rect">
                      <a:avLst/>
                    </a:prstGeom>
                    <a:noFill/>
                    <a:ln>
                      <a:noFill/>
                    </a:ln>
                  </pic:spPr>
                </pic:pic>
              </a:graphicData>
            </a:graphic>
          </wp:inline>
        </w:drawing>
      </w:r>
    </w:p>
    <w:p>
      <w:pPr>
        <w:pStyle w:val="13"/>
        <w:widowControl/>
        <w:numPr>
          <w:ilvl w:val="0"/>
          <w:numId w:val="9"/>
        </w:numPr>
        <w:adjustRightInd w:val="0"/>
        <w:snapToGrid w:val="0"/>
        <w:spacing w:line="288" w:lineRule="auto"/>
        <w:ind w:firstLineChars="0"/>
        <w:jc w:val="left"/>
        <w:rPr>
          <w:rFonts w:hint="eastAsia" w:ascii="微软雅黑" w:hAnsi="微软雅黑" w:eastAsia="微软雅黑" w:cs="宋体"/>
          <w:color w:val="404040"/>
          <w:spacing w:val="10"/>
          <w:szCs w:val="21"/>
        </w:rPr>
      </w:pPr>
      <w:r>
        <w:rPr>
          <w:rFonts w:hint="eastAsia" w:ascii="微软雅黑" w:hAnsi="微软雅黑" w:eastAsia="微软雅黑" w:cs="宋体"/>
          <w:color w:val="404040"/>
          <w:spacing w:val="10"/>
          <w:szCs w:val="21"/>
        </w:rPr>
        <w:t>北京万科、大连万科、融创地产、恒大地产、龙湖地产、黑龙江保利、辽宁保利、保利京津冀、保利淮海、保利华南、江西保利、广东保利、中海地产、绿地香港、绿地一部、绿城地产、蓝城集团、华润置地、华夏幸福、中粮置地、旭辉地产、招商蛇口、金科地产、金辉地产、金地地产、金融街、佳兆业、中铁建、鲁能地产、众安集团、天阳控股、中建东孚、钱城开发、陕西万众、远洋地产、奥园地产、五矿地产、仁恒地产、越秀地产、华发地产、祥生地产、正荣地产、星河集团、信和置业、晶泽实业、中天美好、路劲地产、建业集团、福晟集团、当代置业、儒辰集团、北京建工、电建地产、北京城建地产等</w:t>
      </w:r>
    </w:p>
    <w:p>
      <w:pPr>
        <w:pStyle w:val="13"/>
        <w:adjustRightInd w:val="0"/>
        <w:snapToGrid w:val="0"/>
        <w:spacing w:line="288" w:lineRule="auto"/>
        <w:ind w:firstLine="460"/>
        <w:rPr>
          <w:rFonts w:hint="eastAsia" w:ascii="微软雅黑" w:hAnsi="微软雅黑" w:eastAsia="微软雅黑" w:cs="宋体"/>
          <w:color w:val="404040"/>
          <w:spacing w:val="10"/>
          <w:szCs w:val="21"/>
        </w:rPr>
      </w:pPr>
    </w:p>
    <w:p>
      <w:pPr>
        <w:spacing w:line="360" w:lineRule="auto"/>
        <w:rPr>
          <w:rFonts w:hint="eastAsia" w:ascii="微软雅黑" w:hAnsi="微软雅黑" w:eastAsia="微软雅黑" w:cs="宋体"/>
          <w:color w:val="000000"/>
          <w:spacing w:val="10"/>
          <w:szCs w:val="21"/>
          <w:lang/>
        </w:rPr>
      </w:pPr>
      <w:r>
        <w:rPr>
          <w:rFonts w:ascii="微软雅黑" w:hAnsi="微软雅黑" w:eastAsia="微软雅黑" w:cs="宋体"/>
          <w:color w:val="000000"/>
          <w:spacing w:val="10"/>
          <w:szCs w:val="21"/>
          <w:lang/>
        </w:rPr>
        <w:drawing>
          <wp:inline distT="0" distB="0" distL="114300" distR="114300">
            <wp:extent cx="6191250" cy="409575"/>
            <wp:effectExtent l="0" t="0" r="11430" b="1905"/>
            <wp:docPr id="13"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0"/>
                    <pic:cNvPicPr>
                      <a:picLocks noChangeAspect="1"/>
                    </pic:cNvPicPr>
                  </pic:nvPicPr>
                  <pic:blipFill>
                    <a:blip r:embed="rId9"/>
                    <a:stretch>
                      <a:fillRect/>
                    </a:stretch>
                  </pic:blipFill>
                  <pic:spPr>
                    <a:xfrm>
                      <a:off x="0" y="0"/>
                      <a:ext cx="6191250" cy="409575"/>
                    </a:xfrm>
                    <a:prstGeom prst="rect">
                      <a:avLst/>
                    </a:prstGeom>
                    <a:noFill/>
                    <a:ln>
                      <a:noFill/>
                    </a:ln>
                  </pic:spPr>
                </pic:pic>
              </a:graphicData>
            </a:graphic>
          </wp:inline>
        </w:drawing>
      </w:r>
    </w:p>
    <w:p>
      <w:pPr>
        <w:spacing w:line="360" w:lineRule="auto"/>
        <w:rPr>
          <w:rFonts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维度一：运营管理和项目管理类课程（</w:t>
      </w:r>
      <w:r>
        <w:rPr>
          <w:rFonts w:ascii="微软雅黑" w:hAnsi="微软雅黑" w:eastAsia="微软雅黑" w:cs="微软雅黑"/>
          <w:b/>
          <w:color w:val="404040"/>
          <w:szCs w:val="21"/>
          <w:u w:val="single"/>
        </w:rPr>
        <w:t>9</w:t>
      </w:r>
      <w:r>
        <w:rPr>
          <w:rFonts w:hint="eastAsia" w:ascii="微软雅黑" w:hAnsi="微软雅黑" w:eastAsia="微软雅黑" w:cs="微软雅黑"/>
          <w:b/>
          <w:color w:val="404040"/>
          <w:szCs w:val="21"/>
          <w:u w:val="single"/>
        </w:rPr>
        <w:t>门课）</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《标杆房企工程管理客户满意度提升管理要点及实战案例》</w:t>
      </w:r>
      <w:r>
        <w:rPr>
          <w:rFonts w:hint="eastAsia" w:ascii="微软雅黑" w:hAnsi="微软雅黑" w:eastAsia="微软雅黑" w:cs="微软雅黑"/>
          <w:b/>
          <w:color w:val="404040"/>
          <w:szCs w:val="21"/>
        </w:rPr>
        <w:t>（数百家企业项目管理提升课程，提升整合员工工程管理能力，快速提升客户交付满意度）</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《标杆房企工程管理之道与工程策划的管控要点及实战案例》</w:t>
      </w:r>
      <w:r>
        <w:rPr>
          <w:rFonts w:hint="eastAsia" w:ascii="微软雅黑" w:hAnsi="微软雅黑" w:eastAsia="微软雅黑" w:cs="微软雅黑"/>
          <w:b/>
          <w:color w:val="404040"/>
          <w:szCs w:val="21"/>
        </w:rPr>
        <w:t>（数百家企业项目管理提升课程，提升整合员工项目预判和预控管理能力）</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《标杆房企工程管理之道与项目管理的管控要点及实战案例》</w:t>
      </w:r>
      <w:r>
        <w:rPr>
          <w:rFonts w:hint="eastAsia" w:ascii="微软雅黑" w:hAnsi="微软雅黑" w:eastAsia="微软雅黑" w:cs="微软雅黑"/>
          <w:b/>
          <w:color w:val="404040"/>
          <w:szCs w:val="21"/>
        </w:rPr>
        <w:t>（数百家企业项目管理提升课程，提升整合员工项目综合管理能力）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0" w:name="_Hlk118432381"/>
      <w:r>
        <w:rPr>
          <w:rFonts w:hint="eastAsia" w:ascii="微软雅黑" w:hAnsi="微软雅黑" w:eastAsia="微软雅黑" w:cs="微软雅黑"/>
          <w:color w:val="404040"/>
          <w:szCs w:val="21"/>
        </w:rPr>
        <w:t>工程精益管理</w:t>
      </w:r>
      <w:bookmarkEnd w:id="0"/>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color w:val="404040"/>
          <w:szCs w:val="21"/>
        </w:rPr>
        <w:t>（数百家企业项目管理提升课程，提升整合员工程精益管理能力，降低现场成本，消除浪费，提高效益）</w:t>
      </w:r>
    </w:p>
    <w:p>
      <w:pPr>
        <w:numPr>
          <w:ilvl w:val="0"/>
          <w:numId w:val="10"/>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《标杆房企旧城改造项目工程管理核心解析及实操案例》</w:t>
      </w:r>
      <w:r>
        <w:rPr>
          <w:rFonts w:hint="eastAsia" w:ascii="微软雅黑" w:hAnsi="微软雅黑" w:eastAsia="微软雅黑" w:cs="微软雅黑"/>
          <w:b/>
          <w:color w:val="404040"/>
          <w:szCs w:val="21"/>
        </w:rPr>
        <w:t>（针对标杆企业的旧改项目工程管理提升课程，提升整合员工旧改项目综合管理能力）</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《标杆房企项目开发全流程管理核心解析及实战案例》</w:t>
      </w:r>
      <w:r>
        <w:rPr>
          <w:rFonts w:hint="eastAsia" w:ascii="微软雅黑" w:hAnsi="微软雅黑" w:eastAsia="微软雅黑" w:cs="微软雅黑"/>
          <w:b/>
          <w:color w:val="404040"/>
          <w:szCs w:val="21"/>
        </w:rPr>
        <w:t>（数百家企业项目管理提升课程，提升整合员工全流程管理意识能力，掌握项目开发全流程知识体系）</w:t>
      </w:r>
    </w:p>
    <w:p>
      <w:pPr>
        <w:numPr>
          <w:ilvl w:val="0"/>
          <w:numId w:val="10"/>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w:t>
      </w:r>
      <w:bookmarkStart w:id="1" w:name="_Hlk118432986"/>
      <w:r>
        <w:rPr>
          <w:rFonts w:hint="eastAsia" w:ascii="微软雅黑" w:hAnsi="微软雅黑" w:eastAsia="微软雅黑" w:cs="微软雅黑"/>
          <w:color w:val="404040"/>
          <w:szCs w:val="21"/>
        </w:rPr>
        <w:t>项目总角色定位与项目管理能力</w:t>
      </w:r>
      <w:bookmarkEnd w:id="1"/>
      <w:r>
        <w:rPr>
          <w:rFonts w:hint="eastAsia" w:ascii="微软雅黑" w:hAnsi="微软雅黑" w:eastAsia="微软雅黑" w:cs="微软雅黑"/>
          <w:color w:val="404040"/>
          <w:szCs w:val="21"/>
        </w:rPr>
        <w:t>提升及实战案例》（</w:t>
      </w:r>
      <w:r>
        <w:rPr>
          <w:rFonts w:hint="eastAsia" w:ascii="微软雅黑" w:hAnsi="微软雅黑" w:eastAsia="微软雅黑" w:cs="微软雅黑"/>
          <w:b/>
          <w:color w:val="404040"/>
          <w:szCs w:val="21"/>
        </w:rPr>
        <w:t>近百家企业管理提升课程，提升整合员工项目总角色定位与项目管理能力</w:t>
      </w:r>
      <w:r>
        <w:rPr>
          <w:rFonts w:hint="eastAsia" w:ascii="微软雅黑" w:hAnsi="微软雅黑" w:eastAsia="微软雅黑" w:cs="微软雅黑"/>
          <w:color w:val="404040"/>
          <w:szCs w:val="21"/>
        </w:rPr>
        <w:t>）</w:t>
      </w:r>
    </w:p>
    <w:p>
      <w:pPr>
        <w:numPr>
          <w:ilvl w:val="0"/>
          <w:numId w:val="10"/>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《标杆房企招采成本供方管控的管理要点及谈判实战案例》</w:t>
      </w:r>
      <w:r>
        <w:rPr>
          <w:rFonts w:hint="eastAsia" w:ascii="微软雅黑" w:hAnsi="微软雅黑" w:eastAsia="微软雅黑" w:cs="微软雅黑"/>
          <w:b/>
          <w:color w:val="404040"/>
          <w:szCs w:val="21"/>
        </w:rPr>
        <w:t>（数百家企业项目管理提升课程，提升整合员工项目供方管理能力，谈判管理意识）</w:t>
      </w:r>
    </w:p>
    <w:p>
      <w:pPr>
        <w:numPr>
          <w:ilvl w:val="0"/>
          <w:numId w:val="10"/>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《标杆房企项目总角色定位与全周期项目管理能力提升要点及实战案例》</w:t>
      </w:r>
      <w:r>
        <w:rPr>
          <w:rFonts w:hint="eastAsia" w:ascii="微软雅黑" w:hAnsi="微软雅黑" w:eastAsia="微软雅黑" w:cs="微软雅黑"/>
          <w:b/>
          <w:color w:val="404040"/>
          <w:szCs w:val="21"/>
        </w:rPr>
        <w:t>（近百家企业管理提升课程，提升员工项目总角色定位与全周期项目管理能力，把控项目目标</w:t>
      </w:r>
      <w:r>
        <w:rPr>
          <w:rFonts w:hint="eastAsia" w:ascii="微软雅黑" w:hAnsi="微软雅黑" w:eastAsia="微软雅黑" w:cs="微软雅黑"/>
          <w:bCs/>
          <w:color w:val="404040"/>
          <w:szCs w:val="21"/>
        </w:rPr>
        <w:t>）</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维度二：管理者自身和团队能力提升（4门课）</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《标杆房企工程标准化和协同管理的管控要点及实战案例》</w:t>
      </w:r>
      <w:r>
        <w:rPr>
          <w:rFonts w:hint="eastAsia" w:ascii="微软雅黑" w:hAnsi="微软雅黑" w:eastAsia="微软雅黑" w:cs="微软雅黑"/>
          <w:b/>
          <w:color w:val="404040"/>
          <w:szCs w:val="21"/>
        </w:rPr>
        <w:t>（近百家企业内训课程，提升整合员工工程管理专业工程标准化和协同管理能力）</w:t>
      </w:r>
    </w:p>
    <w:p>
      <w:pPr>
        <w:numPr>
          <w:ilvl w:val="0"/>
          <w:numId w:val="11"/>
        </w:numPr>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《标杆房企战略领导力培训》</w:t>
      </w:r>
      <w:r>
        <w:rPr>
          <w:rFonts w:hint="eastAsia" w:ascii="微软雅黑" w:hAnsi="微软雅黑" w:eastAsia="微软雅黑" w:cs="微软雅黑"/>
          <w:b/>
          <w:color w:val="404040"/>
          <w:szCs w:val="21"/>
        </w:rPr>
        <w:t>（近百家企业内训课程，提升整合员工战略领导力管理，打通多维管理意识）</w:t>
      </w:r>
    </w:p>
    <w:p>
      <w:pPr>
        <w:numPr>
          <w:ilvl w:val="0"/>
          <w:numId w:val="11"/>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《标杆房企工程跨部门沟通谈判的管控要点及实战案例》（</w:t>
      </w:r>
      <w:r>
        <w:rPr>
          <w:rFonts w:hint="eastAsia" w:ascii="微软雅黑" w:hAnsi="微软雅黑" w:eastAsia="微软雅黑" w:cs="微软雅黑"/>
          <w:b/>
          <w:color w:val="404040"/>
          <w:szCs w:val="21"/>
        </w:rPr>
        <w:t>近百家企业内训课程，提升整合员工跨部门沟通谈判管理能力，打通跨部门沟通谈判管理意识</w:t>
      </w:r>
      <w:r>
        <w:rPr>
          <w:rFonts w:hint="eastAsia" w:ascii="微软雅黑" w:hAnsi="微软雅黑" w:eastAsia="微软雅黑" w:cs="微软雅黑"/>
          <w:color w:val="404040"/>
          <w:szCs w:val="21"/>
        </w:rPr>
        <w:t>）</w:t>
      </w:r>
    </w:p>
    <w:p>
      <w:pPr>
        <w:numPr>
          <w:ilvl w:val="0"/>
          <w:numId w:val="11"/>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《标杆房企工程舆情及沟通谈判的管控要点及实战案例》（</w:t>
      </w:r>
      <w:r>
        <w:rPr>
          <w:rFonts w:hint="eastAsia" w:ascii="微软雅黑" w:hAnsi="微软雅黑" w:eastAsia="微软雅黑" w:cs="微软雅黑"/>
          <w:b/>
          <w:color w:val="404040"/>
          <w:szCs w:val="21"/>
        </w:rPr>
        <w:t>近百家企业内训课程，提升整合员工舆情及沟通谈判能力，打通舆情及沟通谈判管理意识</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维度三：专业技术管理类课程（1</w:t>
      </w:r>
      <w:r>
        <w:rPr>
          <w:rFonts w:ascii="微软雅黑" w:hAnsi="微软雅黑" w:eastAsia="微软雅黑" w:cs="微软雅黑"/>
          <w:b/>
          <w:color w:val="404040"/>
          <w:szCs w:val="21"/>
          <w:u w:val="single"/>
        </w:rPr>
        <w:t>3</w:t>
      </w:r>
      <w:r>
        <w:rPr>
          <w:rFonts w:hint="eastAsia" w:ascii="微软雅黑" w:hAnsi="微软雅黑" w:eastAsia="微软雅黑" w:cs="微软雅黑"/>
          <w:b/>
          <w:color w:val="404040"/>
          <w:szCs w:val="21"/>
          <w:u w:val="single"/>
        </w:rPr>
        <w:t>门课）</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《标杆房企建筑零渗漏节点构造分析及实战案例》(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《标杆房企工程管理之零渗漏防裂缝防塌陷体系》(</w:t>
      </w:r>
      <w:r>
        <w:rPr>
          <w:rFonts w:hint="eastAsia" w:ascii="微软雅黑" w:hAnsi="微软雅黑" w:eastAsia="微软雅黑" w:cs="微软雅黑"/>
          <w:b/>
          <w:color w:val="404040"/>
          <w:szCs w:val="21"/>
        </w:rPr>
        <w:t>多家央企零渗漏防裂缝防塌陷管理提升课程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《标杆房企地下建筑沉降加固零渗漏节点构造分析及实战案例》(</w:t>
      </w:r>
      <w:r>
        <w:rPr>
          <w:rFonts w:hint="eastAsia" w:ascii="微软雅黑" w:hAnsi="微软雅黑" w:eastAsia="微软雅黑" w:cs="微软雅黑"/>
          <w:b/>
          <w:color w:val="404040"/>
          <w:szCs w:val="21"/>
        </w:rPr>
        <w:t>多家央企工程管理提升课程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零渗漏体系的首倡者；房地产总工之家/技术联盟零渗漏专业工作委员会主任，建筑工业出版社出版建筑防水防渗漏标准化设计和施工图集，帮助数十家企业完成零渗漏体系培训和构建，实现每项目防渗漏过程成本优化数千万，防渗漏运维成本降低亿元的绩效；</w:t>
      </w:r>
    </w:p>
    <w:p>
      <w:pPr>
        <w:numPr>
          <w:ilvl w:val="0"/>
          <w:numId w:val="12"/>
        </w:numPr>
        <w:spacing w:line="360" w:lineRule="auto"/>
        <w:rPr>
          <w:rFonts w:hint="eastAsia" w:ascii="微软雅黑" w:hAnsi="微软雅黑" w:eastAsia="微软雅黑" w:cs="微软雅黑"/>
          <w:color w:val="404040"/>
          <w:szCs w:val="21"/>
          <w:highlight w:val="yellow"/>
        </w:rPr>
      </w:pPr>
      <w:r>
        <w:rPr>
          <w:rFonts w:hint="eastAsia" w:ascii="微软雅黑" w:hAnsi="微软雅黑" w:eastAsia="微软雅黑" w:cs="微软雅黑"/>
          <w:color w:val="404040"/>
          <w:szCs w:val="21"/>
          <w:highlight w:val="yellow"/>
        </w:rPr>
        <w:t>《标杆房企工程管理之铝模体系的管理要点及实战案例》</w:t>
      </w:r>
      <w:r>
        <w:rPr>
          <w:rFonts w:hint="eastAsia" w:ascii="微软雅黑" w:hAnsi="微软雅黑" w:eastAsia="微软雅黑" w:cs="微软雅黑"/>
          <w:b/>
          <w:color w:val="404040"/>
          <w:szCs w:val="21"/>
          <w:highlight w:val="yellow"/>
        </w:rPr>
        <w:t>（多家地产铝模管理提升课程）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《标杆房企工程管理之PC体系的管理要点及实战案例》</w:t>
      </w:r>
      <w:r>
        <w:rPr>
          <w:rFonts w:hint="eastAsia" w:ascii="微软雅黑" w:hAnsi="微软雅黑" w:eastAsia="微软雅黑" w:cs="微软雅黑"/>
          <w:b/>
          <w:color w:val="404040"/>
          <w:szCs w:val="21"/>
        </w:rPr>
        <w:t>（多家地产PC管理提升课程）</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《标杆房企工程管理之门窗体系的管理要点及实战案例》</w:t>
      </w:r>
      <w:r>
        <w:rPr>
          <w:rFonts w:hint="eastAsia" w:ascii="微软雅黑" w:hAnsi="微软雅黑" w:eastAsia="微软雅黑" w:cs="微软雅黑"/>
          <w:b/>
          <w:color w:val="404040"/>
          <w:szCs w:val="21"/>
        </w:rPr>
        <w:t>（华润门窗产品质量提升课程）</w:t>
      </w:r>
    </w:p>
    <w:p>
      <w:pPr>
        <w:numPr>
          <w:ilvl w:val="0"/>
          <w:numId w:val="12"/>
        </w:numPr>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《标杆房企工程管理之幕墙体系的管理要点及实战案例》（</w:t>
      </w:r>
      <w:r>
        <w:rPr>
          <w:rFonts w:hint="eastAsia" w:ascii="微软雅黑" w:hAnsi="微软雅黑" w:eastAsia="微软雅黑" w:cs="微软雅黑"/>
          <w:b/>
          <w:color w:val="404040"/>
          <w:szCs w:val="21"/>
        </w:rPr>
        <w:t>多家地产</w:t>
      </w:r>
      <w:r>
        <w:rPr>
          <w:rFonts w:hint="eastAsia" w:ascii="微软雅黑" w:hAnsi="微软雅黑" w:eastAsia="微软雅黑" w:cs="微软雅黑"/>
          <w:b/>
          <w:bCs/>
          <w:color w:val="404040"/>
          <w:szCs w:val="21"/>
        </w:rPr>
        <w:t>幕墙体系管</w:t>
      </w:r>
      <w:r>
        <w:rPr>
          <w:rFonts w:hint="eastAsia" w:ascii="微软雅黑" w:hAnsi="微软雅黑" w:eastAsia="微软雅黑" w:cs="微软雅黑"/>
          <w:b/>
          <w:color w:val="404040"/>
          <w:szCs w:val="21"/>
        </w:rPr>
        <w:t>理提升课程</w:t>
      </w:r>
      <w:r>
        <w:rPr>
          <w:rFonts w:hint="eastAsia" w:ascii="微软雅黑" w:hAnsi="微软雅黑" w:eastAsia="微软雅黑" w:cs="微软雅黑"/>
          <w:color w:val="404040"/>
          <w:szCs w:val="21"/>
        </w:rPr>
        <w:t>）</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中国门窗幕墙标准化工作委员会专家委员，中国金属结构协会钢木门窗委员会专家委员，中国金属结构协会塑料门窗委员会副主任委员，中国建筑玻璃与工业玻璃协会专家委员；</w:t>
      </w:r>
    </w:p>
    <w:p>
      <w:pPr>
        <w:numPr>
          <w:ilvl w:val="0"/>
          <w:numId w:val="14"/>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《标杆房企工程管理之批量精装修管理要点和实战案例》</w:t>
      </w:r>
      <w:r>
        <w:rPr>
          <w:rFonts w:hint="eastAsia" w:ascii="微软雅黑" w:hAnsi="微软雅黑" w:eastAsia="微软雅黑" w:cs="微软雅黑"/>
          <w:b/>
          <w:color w:val="404040"/>
          <w:szCs w:val="21"/>
        </w:rPr>
        <w:t>（多家地产精装修管理提升课程）</w:t>
      </w:r>
    </w:p>
    <w:p>
      <w:pPr>
        <w:numPr>
          <w:ilvl w:val="0"/>
          <w:numId w:val="15"/>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全联房地产商会全装修产业分会首席专家，组织评选科技部精瑞奖评委；</w:t>
      </w:r>
    </w:p>
    <w:p>
      <w:pPr>
        <w:numPr>
          <w:ilvl w:val="0"/>
          <w:numId w:val="16"/>
        </w:numPr>
        <w:spacing w:line="360" w:lineRule="auto"/>
        <w:ind w:left="284" w:hanging="284"/>
        <w:rPr>
          <w:rFonts w:ascii="微软雅黑" w:hAnsi="微软雅黑" w:eastAsia="微软雅黑" w:cs="微软雅黑"/>
          <w:b/>
          <w:color w:val="404040"/>
          <w:szCs w:val="21"/>
        </w:rPr>
      </w:pPr>
      <w:r>
        <w:rPr>
          <w:rFonts w:hint="eastAsia" w:ascii="微软雅黑" w:hAnsi="微软雅黑" w:eastAsia="微软雅黑" w:cs="微软雅黑"/>
          <w:color w:val="404040"/>
          <w:szCs w:val="21"/>
        </w:rPr>
        <w:t>《标杆房企绿色建筑、健康建筑与近零能耗建筑管理要点及实战案例》</w:t>
      </w:r>
      <w:r>
        <w:rPr>
          <w:rFonts w:hint="eastAsia" w:ascii="微软雅黑" w:hAnsi="微软雅黑" w:eastAsia="微软雅黑" w:cs="微软雅黑"/>
          <w:b/>
          <w:color w:val="404040"/>
          <w:szCs w:val="21"/>
        </w:rPr>
        <w:t>（多家央企绿建管理提升课程）</w:t>
      </w:r>
    </w:p>
    <w:p>
      <w:pPr>
        <w:numPr>
          <w:ilvl w:val="0"/>
          <w:numId w:val="13"/>
        </w:numPr>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中国绿色建筑委员会委员，作为当代首席工程师组织当代获得50多项项目绿建星级评定，获得LEED铂金，健康宅等多项科技绿色住宅奖项；</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《标杆房企新技术新工艺新材料及技术管理创新要点及实战案例》</w:t>
      </w:r>
      <w:r>
        <w:rPr>
          <w:rFonts w:hint="eastAsia" w:ascii="微软雅黑" w:hAnsi="微软雅黑" w:eastAsia="微软雅黑" w:cs="微软雅黑"/>
          <w:b/>
          <w:color w:val="404040"/>
          <w:szCs w:val="21"/>
        </w:rPr>
        <w:t>（多家央企工程新技术新工艺新材料管理提升课程）</w:t>
      </w:r>
    </w:p>
    <w:p>
      <w:pPr>
        <w:numPr>
          <w:ilvl w:val="0"/>
          <w:numId w:val="16"/>
        </w:numPr>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《疫情时代的房企工程管理产品品质提升助力项目营销》（</w:t>
      </w:r>
      <w:r>
        <w:rPr>
          <w:rFonts w:hint="eastAsia" w:ascii="微软雅黑" w:hAnsi="微软雅黑" w:eastAsia="微软雅黑" w:cs="微软雅黑"/>
          <w:b/>
          <w:color w:val="404040"/>
          <w:szCs w:val="21"/>
        </w:rPr>
        <w:t>多家央企产品防疫品质管理提升课程</w:t>
      </w:r>
      <w:r>
        <w:rPr>
          <w:rFonts w:hint="eastAsia" w:ascii="微软雅黑" w:hAnsi="微软雅黑" w:eastAsia="微软雅黑" w:cs="微软雅黑"/>
          <w:color w:val="404040"/>
          <w:szCs w:val="21"/>
        </w:rPr>
        <w:t>）</w:t>
      </w:r>
    </w:p>
    <w:p>
      <w:pPr>
        <w:numPr>
          <w:ilvl w:val="0"/>
          <w:numId w:val="12"/>
        </w:numPr>
        <w:spacing w:line="360" w:lineRule="auto"/>
        <w:rPr>
          <w:rFonts w:ascii="微软雅黑" w:hAnsi="微软雅黑" w:eastAsia="微软雅黑" w:cs="微软雅黑"/>
          <w:color w:val="404040"/>
          <w:szCs w:val="21"/>
        </w:rPr>
      </w:pPr>
      <w:r>
        <w:rPr>
          <w:rFonts w:hint="eastAsia" w:ascii="微软雅黑" w:hAnsi="微软雅黑" w:eastAsia="微软雅黑" w:cs="微软雅黑"/>
          <w:color w:val="404040"/>
          <w:szCs w:val="21"/>
        </w:rPr>
        <w:t>《工程管理专业之钢结构体系管理要点及实战案例》</w:t>
      </w:r>
      <w:r>
        <w:rPr>
          <w:rFonts w:hint="eastAsia" w:ascii="微软雅黑" w:hAnsi="微软雅黑" w:eastAsia="微软雅黑" w:cs="微软雅黑"/>
          <w:b/>
          <w:bCs/>
          <w:color w:val="404040"/>
          <w:szCs w:val="21"/>
        </w:rPr>
        <w:t>（全国首门地产住宅钢结构体系培训课程）</w:t>
      </w:r>
    </w:p>
    <w:p>
      <w:pPr>
        <w:numPr>
          <w:ilvl w:val="0"/>
          <w:numId w:val="12"/>
        </w:numPr>
        <w:spacing w:line="360" w:lineRule="auto"/>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《标杆房企</w:t>
      </w:r>
      <w:bookmarkStart w:id="2" w:name="_Hlk118436183"/>
      <w:r>
        <w:rPr>
          <w:rFonts w:hint="eastAsia" w:ascii="微软雅黑" w:hAnsi="微软雅黑" w:eastAsia="微软雅黑" w:cs="微软雅黑"/>
          <w:color w:val="404040"/>
          <w:szCs w:val="21"/>
        </w:rPr>
        <w:t>安全管理</w:t>
      </w:r>
      <w:bookmarkEnd w:id="2"/>
      <w:r>
        <w:rPr>
          <w:rFonts w:hint="eastAsia" w:ascii="微软雅黑" w:hAnsi="微软雅黑" w:eastAsia="微软雅黑" w:cs="微软雅黑"/>
          <w:color w:val="404040"/>
          <w:szCs w:val="21"/>
        </w:rPr>
        <w:t>的管控要点及实战案例》（</w:t>
      </w:r>
      <w:r>
        <w:rPr>
          <w:rFonts w:hint="eastAsia" w:ascii="微软雅黑" w:hAnsi="微软雅黑" w:eastAsia="微软雅黑" w:cs="微软雅黑"/>
          <w:b/>
          <w:bCs/>
          <w:color w:val="404040"/>
          <w:szCs w:val="21"/>
        </w:rPr>
        <w:t>多家地产安全防护管理提升课程</w:t>
      </w:r>
      <w:r>
        <w:rPr>
          <w:rFonts w:hint="eastAsia" w:ascii="微软雅黑" w:hAnsi="微软雅黑" w:eastAsia="微软雅黑" w:cs="微软雅黑"/>
          <w:color w:val="404040"/>
          <w:szCs w:val="21"/>
        </w:rPr>
        <w:t>）</w:t>
      </w:r>
    </w:p>
    <w:p>
      <w:pPr>
        <w:spacing w:line="360" w:lineRule="auto"/>
        <w:rPr>
          <w:rFonts w:hint="eastAsia" w:ascii="微软雅黑" w:hAnsi="微软雅黑" w:eastAsia="微软雅黑" w:cs="微软雅黑"/>
          <w:b/>
          <w:color w:val="404040"/>
          <w:szCs w:val="21"/>
          <w:u w:val="single"/>
        </w:rPr>
      </w:pPr>
      <w:bookmarkStart w:id="3" w:name="_Hlk118342151"/>
      <w:r>
        <w:rPr>
          <w:rFonts w:hint="eastAsia" w:ascii="微软雅黑" w:hAnsi="微软雅黑" w:eastAsia="微软雅黑" w:cs="微软雅黑"/>
          <w:b/>
          <w:color w:val="404040"/>
          <w:szCs w:val="21"/>
          <w:u w:val="single"/>
        </w:rPr>
        <w:t>维度四：计划管理类课程（</w:t>
      </w:r>
      <w:r>
        <w:rPr>
          <w:rFonts w:ascii="微软雅黑" w:hAnsi="微软雅黑" w:eastAsia="微软雅黑" w:cs="微软雅黑"/>
          <w:b/>
          <w:color w:val="404040"/>
          <w:szCs w:val="21"/>
          <w:u w:val="single"/>
        </w:rPr>
        <w:t>2</w:t>
      </w:r>
      <w:r>
        <w:rPr>
          <w:rFonts w:hint="eastAsia" w:ascii="微软雅黑" w:hAnsi="微软雅黑" w:eastAsia="微软雅黑" w:cs="微软雅黑"/>
          <w:b/>
          <w:color w:val="404040"/>
          <w:szCs w:val="21"/>
          <w:u w:val="single"/>
        </w:rPr>
        <w:t>门课）</w:t>
      </w:r>
    </w:p>
    <w:bookmarkEnd w:id="3"/>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4" w:name="_Hlk118437736"/>
      <w:r>
        <w:rPr>
          <w:rFonts w:hint="eastAsia" w:ascii="微软雅黑" w:hAnsi="微软雅黑" w:eastAsia="微软雅黑" w:cs="微软雅黑"/>
          <w:color w:val="404040"/>
          <w:szCs w:val="21"/>
        </w:rPr>
        <w:t>保交付</w:t>
      </w:r>
      <w:bookmarkEnd w:id="4"/>
      <w:r>
        <w:rPr>
          <w:rFonts w:hint="eastAsia" w:ascii="微软雅黑" w:hAnsi="微软雅黑" w:eastAsia="微软雅黑" w:cs="微软雅黑"/>
          <w:color w:val="404040"/>
          <w:szCs w:val="21"/>
        </w:rPr>
        <w:t>保质量下的工</w:t>
      </w:r>
      <w:bookmarkStart w:id="5" w:name="_Hlk118437723"/>
      <w:r>
        <w:rPr>
          <w:rFonts w:hint="eastAsia" w:ascii="微软雅黑" w:hAnsi="微软雅黑" w:eastAsia="微软雅黑" w:cs="微软雅黑"/>
          <w:color w:val="404040"/>
          <w:szCs w:val="21"/>
        </w:rPr>
        <w:t>程穿插提效快速施工</w:t>
      </w:r>
      <w:bookmarkEnd w:id="5"/>
      <w:r>
        <w:rPr>
          <w:rFonts w:hint="eastAsia" w:ascii="微软雅黑" w:hAnsi="微软雅黑" w:eastAsia="微软雅黑" w:cs="微软雅黑"/>
          <w:color w:val="404040"/>
          <w:szCs w:val="21"/>
        </w:rPr>
        <w:t>管理要点及实战案例》</w:t>
      </w:r>
      <w:r>
        <w:rPr>
          <w:rFonts w:hint="eastAsia" w:ascii="微软雅黑" w:hAnsi="微软雅黑" w:eastAsia="微软雅黑" w:cs="微软雅黑"/>
          <w:b/>
          <w:color w:val="404040"/>
          <w:szCs w:val="21"/>
        </w:rPr>
        <w:t>（多家央企保交付工程穿插提效快速施工管理提升课程）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《工业地产项目管理之穿插施工管理要点及实战案例》</w:t>
      </w:r>
      <w:r>
        <w:rPr>
          <w:rFonts w:hint="eastAsia" w:ascii="微软雅黑" w:hAnsi="微软雅黑" w:eastAsia="微软雅黑" w:cs="微软雅黑"/>
          <w:b/>
          <w:color w:val="404040"/>
          <w:szCs w:val="21"/>
        </w:rPr>
        <w:t>（多家央企工业地产项目穿插施工管理提升课程）</w:t>
      </w:r>
    </w:p>
    <w:p>
      <w:pPr>
        <w:spacing w:line="360" w:lineRule="auto"/>
        <w:rPr>
          <w:rFonts w:hint="eastAsia" w:ascii="微软雅黑" w:hAnsi="微软雅黑" w:eastAsia="微软雅黑" w:cs="微软雅黑"/>
          <w:b/>
          <w:color w:val="404040"/>
          <w:szCs w:val="21"/>
          <w:u w:val="single"/>
        </w:rPr>
      </w:pPr>
      <w:r>
        <w:rPr>
          <w:rFonts w:hint="eastAsia" w:ascii="微软雅黑" w:hAnsi="微软雅黑" w:eastAsia="微软雅黑" w:cs="微软雅黑"/>
          <w:b/>
          <w:color w:val="404040"/>
          <w:szCs w:val="21"/>
          <w:u w:val="single"/>
        </w:rPr>
        <w:t>维度五：施工管理类课程（</w:t>
      </w:r>
      <w:r>
        <w:rPr>
          <w:rFonts w:ascii="微软雅黑" w:hAnsi="微软雅黑" w:eastAsia="微软雅黑" w:cs="微软雅黑"/>
          <w:b/>
          <w:color w:val="404040"/>
          <w:szCs w:val="21"/>
          <w:u w:val="single"/>
        </w:rPr>
        <w:t>7</w:t>
      </w:r>
      <w:r>
        <w:rPr>
          <w:rFonts w:hint="eastAsia" w:ascii="微软雅黑" w:hAnsi="微软雅黑" w:eastAsia="微软雅黑" w:cs="微软雅黑"/>
          <w:b/>
          <w:color w:val="404040"/>
          <w:szCs w:val="21"/>
          <w:u w:val="single"/>
        </w:rPr>
        <w:t>门课）</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color w:val="404040"/>
          <w:szCs w:val="21"/>
        </w:rPr>
        <w:t>《</w:t>
      </w:r>
      <w:bookmarkStart w:id="6" w:name="_Hlk118438008"/>
      <w:r>
        <w:rPr>
          <w:rFonts w:hint="eastAsia" w:ascii="微软雅黑" w:hAnsi="微软雅黑" w:eastAsia="微软雅黑" w:cs="微软雅黑"/>
          <w:color w:val="404040"/>
          <w:szCs w:val="21"/>
        </w:rPr>
        <w:t>地基基础施工工艺</w:t>
      </w:r>
      <w:bookmarkEnd w:id="6"/>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b/>
          <w:color w:val="404040"/>
          <w:szCs w:val="21"/>
        </w:rPr>
        <w:t>（岩土工程专业地基基础施工工艺管理提升课程）</w:t>
      </w:r>
    </w:p>
    <w:p>
      <w:pPr>
        <w:numPr>
          <w:ilvl w:val="0"/>
          <w:numId w:val="17"/>
        </w:numPr>
        <w:adjustRightInd w:val="0"/>
        <w:snapToGrid w:val="0"/>
        <w:spacing w:line="360" w:lineRule="auto"/>
        <w:ind w:left="284" w:hanging="284"/>
        <w:rPr>
          <w:rFonts w:hint="eastAsia" w:ascii="微软雅黑" w:hAnsi="微软雅黑" w:eastAsia="微软雅黑" w:cs="微软雅黑"/>
          <w:b/>
          <w:color w:val="404040"/>
          <w:szCs w:val="21"/>
        </w:rPr>
      </w:pPr>
      <w:r>
        <w:rPr>
          <w:rFonts w:hint="eastAsia" w:ascii="微软雅黑" w:hAnsi="微软雅黑" w:eastAsia="微软雅黑" w:cs="微软雅黑"/>
          <w:color w:val="404040"/>
          <w:szCs w:val="21"/>
        </w:rPr>
        <w:t>《地下工程盾构施工工艺管控要点及实战案例》</w:t>
      </w:r>
      <w:r>
        <w:rPr>
          <w:rFonts w:hint="eastAsia" w:ascii="微软雅黑" w:hAnsi="微软雅黑" w:eastAsia="微软雅黑" w:cs="微软雅黑"/>
          <w:b/>
          <w:color w:val="404040"/>
          <w:szCs w:val="21"/>
        </w:rPr>
        <w:t>（岩土工程专业路桥隧道专业施工工艺管理提升课程）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主体结构施工工艺管控要点及实战案例》</w:t>
      </w:r>
      <w:r>
        <w:rPr>
          <w:rFonts w:hint="eastAsia" w:ascii="微软雅黑" w:hAnsi="微软雅黑" w:eastAsia="微软雅黑" w:cs="微软雅黑"/>
          <w:b/>
          <w:color w:val="404040"/>
          <w:szCs w:val="21"/>
        </w:rPr>
        <w:t>（土建工程专业主体结构施工工艺管理提升课程）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bookmarkStart w:id="7" w:name="_Hlk118438098"/>
      <w:r>
        <w:rPr>
          <w:rFonts w:hint="eastAsia" w:ascii="微软雅黑" w:hAnsi="微软雅黑" w:eastAsia="微软雅黑" w:cs="微软雅黑"/>
          <w:color w:val="404040"/>
          <w:szCs w:val="21"/>
        </w:rPr>
        <w:t>装饰装修施工工艺</w:t>
      </w:r>
      <w:bookmarkEnd w:id="7"/>
      <w:r>
        <w:rPr>
          <w:rFonts w:hint="eastAsia" w:ascii="微软雅黑" w:hAnsi="微软雅黑" w:eastAsia="微软雅黑" w:cs="微软雅黑"/>
          <w:color w:val="404040"/>
          <w:szCs w:val="21"/>
        </w:rPr>
        <w:t>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（土建工程专业装饰装修施工工艺管理提升课程）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防水工程施工工艺管控要点及实战案例</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（土建工程专业防水工程施工工艺管理提升课程）</w:t>
      </w:r>
    </w:p>
    <w:p>
      <w:pPr>
        <w:numPr>
          <w:ilvl w:val="0"/>
          <w:numId w:val="16"/>
        </w:numPr>
        <w:spacing w:line="360" w:lineRule="auto"/>
        <w:ind w:left="284" w:hanging="284"/>
        <w:rPr>
          <w:rFonts w:ascii="微软雅黑" w:hAnsi="微软雅黑" w:eastAsia="微软雅黑" w:cs="微软雅黑"/>
          <w:color w:val="404040"/>
          <w:szCs w:val="21"/>
        </w:rPr>
      </w:pPr>
      <w:r>
        <w:rPr>
          <w:rFonts w:hint="eastAsia" w:ascii="微软雅黑" w:hAnsi="微软雅黑" w:eastAsia="微软雅黑" w:cs="微软雅黑"/>
          <w:szCs w:val="21"/>
        </w:rPr>
        <w:t>《</w:t>
      </w:r>
      <w:r>
        <w:rPr>
          <w:rFonts w:hint="eastAsia" w:ascii="微软雅黑" w:hAnsi="微软雅黑" w:eastAsia="微软雅黑" w:cs="微软雅黑"/>
          <w:color w:val="404040"/>
          <w:szCs w:val="21"/>
        </w:rPr>
        <w:t>安全生产</w:t>
      </w:r>
      <w:r>
        <w:rPr>
          <w:rFonts w:hint="eastAsia" w:ascii="微软雅黑" w:hAnsi="微软雅黑" w:eastAsia="微软雅黑" w:cs="微软雅黑"/>
          <w:szCs w:val="21"/>
        </w:rPr>
        <w:t>》</w:t>
      </w:r>
      <w:r>
        <w:rPr>
          <w:rFonts w:hint="eastAsia" w:ascii="微软雅黑" w:hAnsi="微软雅黑" w:eastAsia="微软雅黑" w:cs="微软雅黑"/>
          <w:b/>
          <w:color w:val="404040"/>
          <w:szCs w:val="21"/>
        </w:rPr>
        <w:t>（多家总承包央企工程项目安全生产管理提升课程）</w:t>
      </w:r>
    </w:p>
    <w:p>
      <w:pPr>
        <w:numPr>
          <w:ilvl w:val="0"/>
          <w:numId w:val="16"/>
        </w:numPr>
        <w:spacing w:line="360" w:lineRule="auto"/>
        <w:ind w:left="284" w:hanging="284"/>
        <w:rPr>
          <w:rFonts w:hint="eastAsia" w:ascii="微软雅黑" w:hAnsi="微软雅黑" w:eastAsia="微软雅黑" w:cs="微软雅黑"/>
          <w:color w:val="404040"/>
          <w:szCs w:val="21"/>
        </w:rPr>
      </w:pPr>
      <w:r>
        <w:rPr>
          <w:rFonts w:hint="eastAsia" w:ascii="微软雅黑" w:hAnsi="微软雅黑" w:eastAsia="微软雅黑" w:cs="微软雅黑"/>
          <w:color w:val="404040"/>
          <w:szCs w:val="21"/>
        </w:rPr>
        <w:t>《工程</w:t>
      </w:r>
      <w:bookmarkStart w:id="8" w:name="_Hlk118438294"/>
      <w:r>
        <w:rPr>
          <w:rFonts w:hint="eastAsia" w:ascii="微软雅黑" w:hAnsi="微软雅黑" w:eastAsia="微软雅黑" w:cs="微软雅黑"/>
          <w:color w:val="404040"/>
          <w:szCs w:val="21"/>
        </w:rPr>
        <w:t>总承包</w:t>
      </w:r>
      <w:bookmarkEnd w:id="8"/>
      <w:r>
        <w:rPr>
          <w:rFonts w:hint="eastAsia" w:ascii="微软雅黑" w:hAnsi="微软雅黑" w:eastAsia="微软雅黑" w:cs="微软雅黑"/>
          <w:color w:val="404040"/>
          <w:szCs w:val="21"/>
        </w:rPr>
        <w:t>工程管理之道与项目管理的管控要点及实战案例》</w:t>
      </w:r>
      <w:r>
        <w:rPr>
          <w:rFonts w:hint="eastAsia" w:ascii="微软雅黑" w:hAnsi="微软雅黑" w:eastAsia="微软雅黑" w:cs="微软雅黑"/>
          <w:b/>
          <w:color w:val="404040"/>
          <w:szCs w:val="21"/>
        </w:rPr>
        <w:t>（多家总承包央企工程项目总承包管理提升课程）</w:t>
      </w:r>
    </w:p>
    <w:sectPr>
      <w:footerReference r:id="rId3" w:type="default"/>
      <w:pgSz w:w="16783" w:h="23757"/>
      <w:pgMar w:top="851" w:right="567" w:bottom="567" w:left="567" w:header="851" w:footer="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tabs>
        <w:tab w:val="left" w:pos="4855"/>
        <w:tab w:val="clear" w:pos="4153"/>
      </w:tabs>
      <w:rPr>
        <w:rFonts w:hint="eastAsia"/>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A4399"/>
    <w:multiLevelType w:val="multilevel"/>
    <w:tmpl w:val="138A43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59B001E"/>
    <w:multiLevelType w:val="multilevel"/>
    <w:tmpl w:val="159B001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2AA52E93"/>
    <w:multiLevelType w:val="multilevel"/>
    <w:tmpl w:val="2AA52E93"/>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bullet"/>
      <w:lvlText w:val=""/>
      <w:lvlJc w:val="left"/>
      <w:pPr>
        <w:ind w:left="1260" w:hanging="420"/>
      </w:pPr>
      <w:rPr>
        <w:rFonts w:hint="default" w:ascii="Wingdings" w:hAnsi="Wingdings"/>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ABA6408"/>
    <w:multiLevelType w:val="multilevel"/>
    <w:tmpl w:val="2ABA6408"/>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2E5D5100"/>
    <w:multiLevelType w:val="multilevel"/>
    <w:tmpl w:val="2E5D5100"/>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5">
    <w:nsid w:val="3E57519F"/>
    <w:multiLevelType w:val="multilevel"/>
    <w:tmpl w:val="3E57519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6">
    <w:nsid w:val="52583179"/>
    <w:multiLevelType w:val="multilevel"/>
    <w:tmpl w:val="52583179"/>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7">
    <w:nsid w:val="5ACE535F"/>
    <w:multiLevelType w:val="multilevel"/>
    <w:tmpl w:val="5ACE535F"/>
    <w:lvl w:ilvl="0" w:tentative="0">
      <w:start w:val="1"/>
      <w:numFmt w:val="bullet"/>
      <w:lvlText w:val=""/>
      <w:lvlJc w:val="left"/>
      <w:pPr>
        <w:ind w:left="842" w:hanging="420"/>
      </w:pPr>
      <w:rPr>
        <w:rFonts w:hint="default" w:ascii="Wingdings" w:hAnsi="Wingdings"/>
      </w:rPr>
    </w:lvl>
    <w:lvl w:ilvl="1" w:tentative="0">
      <w:start w:val="1"/>
      <w:numFmt w:val="bullet"/>
      <w:lvlText w:val=""/>
      <w:lvlJc w:val="left"/>
      <w:pPr>
        <w:ind w:left="1262" w:hanging="420"/>
      </w:pPr>
      <w:rPr>
        <w:rFonts w:hint="default" w:ascii="Wingdings" w:hAnsi="Wingdings"/>
      </w:rPr>
    </w:lvl>
    <w:lvl w:ilvl="2" w:tentative="0">
      <w:start w:val="1"/>
      <w:numFmt w:val="bullet"/>
      <w:lvlText w:val=""/>
      <w:lvlJc w:val="left"/>
      <w:pPr>
        <w:ind w:left="1682" w:hanging="420"/>
      </w:pPr>
      <w:rPr>
        <w:rFonts w:hint="default" w:ascii="Wingdings" w:hAnsi="Wingdings"/>
      </w:rPr>
    </w:lvl>
    <w:lvl w:ilvl="3" w:tentative="0">
      <w:start w:val="1"/>
      <w:numFmt w:val="bullet"/>
      <w:lvlText w:val=""/>
      <w:lvlJc w:val="left"/>
      <w:pPr>
        <w:ind w:left="2102" w:hanging="420"/>
      </w:pPr>
      <w:rPr>
        <w:rFonts w:hint="default" w:ascii="Wingdings" w:hAnsi="Wingdings"/>
      </w:rPr>
    </w:lvl>
    <w:lvl w:ilvl="4" w:tentative="0">
      <w:start w:val="1"/>
      <w:numFmt w:val="bullet"/>
      <w:lvlText w:val=""/>
      <w:lvlJc w:val="left"/>
      <w:pPr>
        <w:ind w:left="2522" w:hanging="420"/>
      </w:pPr>
      <w:rPr>
        <w:rFonts w:hint="default" w:ascii="Wingdings" w:hAnsi="Wingdings"/>
      </w:rPr>
    </w:lvl>
    <w:lvl w:ilvl="5" w:tentative="0">
      <w:start w:val="1"/>
      <w:numFmt w:val="bullet"/>
      <w:lvlText w:val=""/>
      <w:lvlJc w:val="left"/>
      <w:pPr>
        <w:ind w:left="2942" w:hanging="420"/>
      </w:pPr>
      <w:rPr>
        <w:rFonts w:hint="default" w:ascii="Wingdings" w:hAnsi="Wingdings"/>
      </w:rPr>
    </w:lvl>
    <w:lvl w:ilvl="6" w:tentative="0">
      <w:start w:val="1"/>
      <w:numFmt w:val="bullet"/>
      <w:lvlText w:val=""/>
      <w:lvlJc w:val="left"/>
      <w:pPr>
        <w:ind w:left="3362" w:hanging="420"/>
      </w:pPr>
      <w:rPr>
        <w:rFonts w:hint="default" w:ascii="Wingdings" w:hAnsi="Wingdings"/>
      </w:rPr>
    </w:lvl>
    <w:lvl w:ilvl="7" w:tentative="0">
      <w:start w:val="1"/>
      <w:numFmt w:val="bullet"/>
      <w:lvlText w:val=""/>
      <w:lvlJc w:val="left"/>
      <w:pPr>
        <w:ind w:left="3782" w:hanging="420"/>
      </w:pPr>
      <w:rPr>
        <w:rFonts w:hint="default" w:ascii="Wingdings" w:hAnsi="Wingdings"/>
      </w:rPr>
    </w:lvl>
    <w:lvl w:ilvl="8" w:tentative="0">
      <w:start w:val="1"/>
      <w:numFmt w:val="bullet"/>
      <w:lvlText w:val=""/>
      <w:lvlJc w:val="left"/>
      <w:pPr>
        <w:ind w:left="4202" w:hanging="420"/>
      </w:pPr>
      <w:rPr>
        <w:rFonts w:hint="default" w:ascii="Wingdings" w:hAnsi="Wingdings"/>
      </w:rPr>
    </w:lvl>
  </w:abstractNum>
  <w:abstractNum w:abstractNumId="8">
    <w:nsid w:val="5F266DA0"/>
    <w:multiLevelType w:val="multilevel"/>
    <w:tmpl w:val="5F266DA0"/>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9">
    <w:nsid w:val="62551AEF"/>
    <w:multiLevelType w:val="multilevel"/>
    <w:tmpl w:val="62551AEF"/>
    <w:lvl w:ilvl="0" w:tentative="0">
      <w:start w:val="1"/>
      <w:numFmt w:val="decimal"/>
      <w:lvlText w:val="%1."/>
      <w:lvlJc w:val="left"/>
      <w:pPr>
        <w:ind w:left="1680" w:hanging="420"/>
      </w:pPr>
      <w:rPr>
        <w:rFonts w:hint="eastAsia"/>
      </w:rPr>
    </w:lvl>
    <w:lvl w:ilvl="1" w:tentative="0">
      <w:start w:val="1"/>
      <w:numFmt w:val="lowerLetter"/>
      <w:lvlText w:val="%2)"/>
      <w:lvlJc w:val="left"/>
      <w:pPr>
        <w:ind w:left="2100" w:hanging="420"/>
      </w:pPr>
    </w:lvl>
    <w:lvl w:ilvl="2" w:tentative="0">
      <w:start w:val="1"/>
      <w:numFmt w:val="lowerRoman"/>
      <w:lvlText w:val="%3."/>
      <w:lvlJc w:val="right"/>
      <w:pPr>
        <w:ind w:left="2520" w:hanging="420"/>
      </w:pPr>
    </w:lvl>
    <w:lvl w:ilvl="3" w:tentative="0">
      <w:start w:val="1"/>
      <w:numFmt w:val="decimal"/>
      <w:lvlText w:val="%4."/>
      <w:lvlJc w:val="left"/>
      <w:pPr>
        <w:ind w:left="2940" w:hanging="420"/>
      </w:pPr>
    </w:lvl>
    <w:lvl w:ilvl="4" w:tentative="0">
      <w:start w:val="1"/>
      <w:numFmt w:val="lowerLetter"/>
      <w:lvlText w:val="%5)"/>
      <w:lvlJc w:val="left"/>
      <w:pPr>
        <w:ind w:left="3360" w:hanging="420"/>
      </w:pPr>
    </w:lvl>
    <w:lvl w:ilvl="5" w:tentative="0">
      <w:start w:val="1"/>
      <w:numFmt w:val="lowerRoman"/>
      <w:lvlText w:val="%6."/>
      <w:lvlJc w:val="right"/>
      <w:pPr>
        <w:ind w:left="3780" w:hanging="420"/>
      </w:pPr>
    </w:lvl>
    <w:lvl w:ilvl="6" w:tentative="0">
      <w:start w:val="1"/>
      <w:numFmt w:val="decimal"/>
      <w:lvlText w:val="%7."/>
      <w:lvlJc w:val="left"/>
      <w:pPr>
        <w:ind w:left="4200" w:hanging="420"/>
      </w:pPr>
    </w:lvl>
    <w:lvl w:ilvl="7" w:tentative="0">
      <w:start w:val="1"/>
      <w:numFmt w:val="lowerLetter"/>
      <w:lvlText w:val="%8)"/>
      <w:lvlJc w:val="left"/>
      <w:pPr>
        <w:ind w:left="4620" w:hanging="420"/>
      </w:pPr>
    </w:lvl>
    <w:lvl w:ilvl="8" w:tentative="0">
      <w:start w:val="1"/>
      <w:numFmt w:val="lowerRoman"/>
      <w:lvlText w:val="%9."/>
      <w:lvlJc w:val="right"/>
      <w:pPr>
        <w:ind w:left="5040" w:hanging="420"/>
      </w:pPr>
    </w:lvl>
  </w:abstractNum>
  <w:abstractNum w:abstractNumId="10">
    <w:nsid w:val="637E30C0"/>
    <w:multiLevelType w:val="multilevel"/>
    <w:tmpl w:val="637E30C0"/>
    <w:lvl w:ilvl="0" w:tentative="0">
      <w:start w:val="1"/>
      <w:numFmt w:val="japaneseCounting"/>
      <w:lvlText w:val="%1、"/>
      <w:lvlJc w:val="left"/>
      <w:pPr>
        <w:ind w:left="720" w:hanging="720"/>
      </w:pPr>
      <w:rPr>
        <w:rFonts w:hint="default"/>
      </w:rPr>
    </w:lvl>
    <w:lvl w:ilvl="1" w:tentative="0">
      <w:start w:val="1"/>
      <w:numFmt w:val="decimal"/>
      <w:lvlText w:val="%2."/>
      <w:lvlJc w:val="left"/>
      <w:pPr>
        <w:ind w:left="840" w:hanging="420"/>
      </w:pPr>
      <w:rPr>
        <w:rFonts w:hint="eastAsia"/>
      </w:rPr>
    </w:lvl>
    <w:lvl w:ilvl="2" w:tentative="0">
      <w:start w:val="1"/>
      <w:numFmt w:val="decimal"/>
      <w:lvlText w:val="1.%3."/>
      <w:lvlJc w:val="left"/>
      <w:pPr>
        <w:ind w:left="1260" w:hanging="420"/>
      </w:pPr>
      <w:rPr>
        <w:rFonts w:hint="eastAsia"/>
      </w:r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674C153E"/>
    <w:multiLevelType w:val="multilevel"/>
    <w:tmpl w:val="674C153E"/>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2">
    <w:nsid w:val="6B991B29"/>
    <w:multiLevelType w:val="multilevel"/>
    <w:tmpl w:val="6B991B2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3">
    <w:nsid w:val="70761BA7"/>
    <w:multiLevelType w:val="multilevel"/>
    <w:tmpl w:val="70761BA7"/>
    <w:lvl w:ilvl="0" w:tentative="0">
      <w:start w:val="1"/>
      <w:numFmt w:val="decimal"/>
      <w:lvlText w:val="%1."/>
      <w:lvlJc w:val="left"/>
      <w:pPr>
        <w:ind w:left="900" w:hanging="420"/>
      </w:pPr>
      <w:rPr>
        <w:rFonts w:hint="eastAsia"/>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4">
    <w:nsid w:val="7C2B5D99"/>
    <w:multiLevelType w:val="multilevel"/>
    <w:tmpl w:val="7C2B5D99"/>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13"/>
  </w:num>
  <w:num w:numId="2">
    <w:abstractNumId w:val="2"/>
  </w:num>
  <w:num w:numId="3">
    <w:abstractNumId w:val="10"/>
  </w:num>
  <w:num w:numId="4">
    <w:abstractNumId w:val="6"/>
  </w:num>
  <w:num w:numId="5">
    <w:abstractNumId w:val="8"/>
  </w:num>
  <w:num w:numId="6">
    <w:abstractNumId w:val="9"/>
  </w:num>
  <w:num w:numId="7">
    <w:abstractNumId w:val="5"/>
  </w:num>
  <w:num w:numId="8">
    <w:abstractNumId w:val="3"/>
  </w:num>
  <w:num w:numId="9">
    <w:abstractNumId w:val="14"/>
  </w:num>
  <w:num w:numId="10">
    <w:abstractNumId w:val="0"/>
  </w:num>
  <w:num w:numId="11">
    <w:abstractNumId w:val="4"/>
  </w:num>
  <w:num w:numId="12">
    <w:abstractNumId w:val="12"/>
  </w:num>
  <w:num w:numId="13">
    <w:abstractNumId w:val="7"/>
  </w:num>
  <w:num w:numId="14">
    <w:abstractNumId w:val="1"/>
  </w:num>
  <w:num w:numId="15">
    <w:abstractNumId w:val="7"/>
  </w:num>
  <w:num w:numId="16">
    <w:abstractNumId w:val="1"/>
  </w:num>
  <w:num w:numId="1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5514"/>
    <w:rsid w:val="00003AEB"/>
    <w:rsid w:val="00004364"/>
    <w:rsid w:val="00005707"/>
    <w:rsid w:val="000259EC"/>
    <w:rsid w:val="00033BB9"/>
    <w:rsid w:val="00044E73"/>
    <w:rsid w:val="000638E0"/>
    <w:rsid w:val="00075514"/>
    <w:rsid w:val="00077F19"/>
    <w:rsid w:val="000B62F5"/>
    <w:rsid w:val="000B6C4B"/>
    <w:rsid w:val="000F0B10"/>
    <w:rsid w:val="001079F2"/>
    <w:rsid w:val="00110A76"/>
    <w:rsid w:val="00111518"/>
    <w:rsid w:val="0013013A"/>
    <w:rsid w:val="00143DE1"/>
    <w:rsid w:val="001462DA"/>
    <w:rsid w:val="00151DB4"/>
    <w:rsid w:val="00152FA0"/>
    <w:rsid w:val="001541CE"/>
    <w:rsid w:val="00161FB5"/>
    <w:rsid w:val="001651A9"/>
    <w:rsid w:val="00174BE0"/>
    <w:rsid w:val="00177836"/>
    <w:rsid w:val="001805E5"/>
    <w:rsid w:val="00180E07"/>
    <w:rsid w:val="00191555"/>
    <w:rsid w:val="00191ACB"/>
    <w:rsid w:val="00192E73"/>
    <w:rsid w:val="00194261"/>
    <w:rsid w:val="00194B9A"/>
    <w:rsid w:val="001B2F4E"/>
    <w:rsid w:val="001B31C4"/>
    <w:rsid w:val="001C391F"/>
    <w:rsid w:val="001D23CA"/>
    <w:rsid w:val="001D5CEE"/>
    <w:rsid w:val="001E0A5E"/>
    <w:rsid w:val="001E27B1"/>
    <w:rsid w:val="001F5741"/>
    <w:rsid w:val="00206F96"/>
    <w:rsid w:val="002170AA"/>
    <w:rsid w:val="00222A87"/>
    <w:rsid w:val="0024149A"/>
    <w:rsid w:val="00251845"/>
    <w:rsid w:val="002555A4"/>
    <w:rsid w:val="00255A23"/>
    <w:rsid w:val="00256316"/>
    <w:rsid w:val="00257FF1"/>
    <w:rsid w:val="002614D6"/>
    <w:rsid w:val="002741BA"/>
    <w:rsid w:val="00277115"/>
    <w:rsid w:val="00277D46"/>
    <w:rsid w:val="00286226"/>
    <w:rsid w:val="00286BC4"/>
    <w:rsid w:val="00286E78"/>
    <w:rsid w:val="00290A2A"/>
    <w:rsid w:val="0029176C"/>
    <w:rsid w:val="00291C6C"/>
    <w:rsid w:val="002A18C3"/>
    <w:rsid w:val="002D1FA4"/>
    <w:rsid w:val="002D6EF4"/>
    <w:rsid w:val="002D78D8"/>
    <w:rsid w:val="002E7B7B"/>
    <w:rsid w:val="00301B92"/>
    <w:rsid w:val="003027B3"/>
    <w:rsid w:val="00304535"/>
    <w:rsid w:val="00307545"/>
    <w:rsid w:val="00315701"/>
    <w:rsid w:val="0031596C"/>
    <w:rsid w:val="00321017"/>
    <w:rsid w:val="00343A78"/>
    <w:rsid w:val="00344C19"/>
    <w:rsid w:val="00350713"/>
    <w:rsid w:val="00363BA6"/>
    <w:rsid w:val="00381973"/>
    <w:rsid w:val="00381C47"/>
    <w:rsid w:val="003A7457"/>
    <w:rsid w:val="003C2D88"/>
    <w:rsid w:val="003D09C1"/>
    <w:rsid w:val="003D1086"/>
    <w:rsid w:val="003D2FED"/>
    <w:rsid w:val="003E2EA3"/>
    <w:rsid w:val="003E619C"/>
    <w:rsid w:val="00401EC5"/>
    <w:rsid w:val="00404613"/>
    <w:rsid w:val="00407036"/>
    <w:rsid w:val="00423F1E"/>
    <w:rsid w:val="00425B7A"/>
    <w:rsid w:val="00427BD4"/>
    <w:rsid w:val="00447E2F"/>
    <w:rsid w:val="0045167C"/>
    <w:rsid w:val="00460E42"/>
    <w:rsid w:val="00475856"/>
    <w:rsid w:val="00475FE6"/>
    <w:rsid w:val="00486FFE"/>
    <w:rsid w:val="004A18A9"/>
    <w:rsid w:val="004A40B9"/>
    <w:rsid w:val="004A47EB"/>
    <w:rsid w:val="004A6684"/>
    <w:rsid w:val="004B4D36"/>
    <w:rsid w:val="004D67EF"/>
    <w:rsid w:val="004D6D36"/>
    <w:rsid w:val="004E062E"/>
    <w:rsid w:val="004E1C26"/>
    <w:rsid w:val="004F7F69"/>
    <w:rsid w:val="005069FA"/>
    <w:rsid w:val="00517AE3"/>
    <w:rsid w:val="0052310E"/>
    <w:rsid w:val="005231BC"/>
    <w:rsid w:val="00531E46"/>
    <w:rsid w:val="00537A13"/>
    <w:rsid w:val="00543BAF"/>
    <w:rsid w:val="00561494"/>
    <w:rsid w:val="00562444"/>
    <w:rsid w:val="0058697F"/>
    <w:rsid w:val="00596E95"/>
    <w:rsid w:val="005A0CDB"/>
    <w:rsid w:val="005A7695"/>
    <w:rsid w:val="005B232A"/>
    <w:rsid w:val="005C379A"/>
    <w:rsid w:val="005C4760"/>
    <w:rsid w:val="005C6132"/>
    <w:rsid w:val="005F6060"/>
    <w:rsid w:val="005F73A6"/>
    <w:rsid w:val="006051A0"/>
    <w:rsid w:val="00614386"/>
    <w:rsid w:val="00627B61"/>
    <w:rsid w:val="00633212"/>
    <w:rsid w:val="006376F4"/>
    <w:rsid w:val="0064561C"/>
    <w:rsid w:val="006533D5"/>
    <w:rsid w:val="00672F1F"/>
    <w:rsid w:val="0067469A"/>
    <w:rsid w:val="0068404B"/>
    <w:rsid w:val="00687D03"/>
    <w:rsid w:val="00692205"/>
    <w:rsid w:val="006A1F93"/>
    <w:rsid w:val="006A57F0"/>
    <w:rsid w:val="006C14F8"/>
    <w:rsid w:val="006C5E5E"/>
    <w:rsid w:val="006D0279"/>
    <w:rsid w:val="006D3DEF"/>
    <w:rsid w:val="006F37E6"/>
    <w:rsid w:val="00700E73"/>
    <w:rsid w:val="00702C3E"/>
    <w:rsid w:val="007348CC"/>
    <w:rsid w:val="00742809"/>
    <w:rsid w:val="00754E10"/>
    <w:rsid w:val="00762A82"/>
    <w:rsid w:val="007726F3"/>
    <w:rsid w:val="007857EB"/>
    <w:rsid w:val="00786B5C"/>
    <w:rsid w:val="007B03E7"/>
    <w:rsid w:val="007C3761"/>
    <w:rsid w:val="007D0A86"/>
    <w:rsid w:val="007D6748"/>
    <w:rsid w:val="007D67FE"/>
    <w:rsid w:val="007D6FB8"/>
    <w:rsid w:val="007F617F"/>
    <w:rsid w:val="00802A72"/>
    <w:rsid w:val="00802AB8"/>
    <w:rsid w:val="008037AC"/>
    <w:rsid w:val="00825DDD"/>
    <w:rsid w:val="00843E62"/>
    <w:rsid w:val="00844259"/>
    <w:rsid w:val="008630D2"/>
    <w:rsid w:val="008736FB"/>
    <w:rsid w:val="008751E1"/>
    <w:rsid w:val="008813E4"/>
    <w:rsid w:val="00885472"/>
    <w:rsid w:val="008952AF"/>
    <w:rsid w:val="00896833"/>
    <w:rsid w:val="008C154B"/>
    <w:rsid w:val="008D3093"/>
    <w:rsid w:val="009031C7"/>
    <w:rsid w:val="00922853"/>
    <w:rsid w:val="00947DA0"/>
    <w:rsid w:val="00955050"/>
    <w:rsid w:val="0097034A"/>
    <w:rsid w:val="009706CF"/>
    <w:rsid w:val="0098470E"/>
    <w:rsid w:val="00994E8B"/>
    <w:rsid w:val="00996110"/>
    <w:rsid w:val="009A0345"/>
    <w:rsid w:val="009A6653"/>
    <w:rsid w:val="009B121D"/>
    <w:rsid w:val="009B531D"/>
    <w:rsid w:val="009C0232"/>
    <w:rsid w:val="009C09FF"/>
    <w:rsid w:val="009C1BA7"/>
    <w:rsid w:val="009D6EBB"/>
    <w:rsid w:val="009D71CC"/>
    <w:rsid w:val="009E34BD"/>
    <w:rsid w:val="009E7AED"/>
    <w:rsid w:val="009F2D38"/>
    <w:rsid w:val="009F510B"/>
    <w:rsid w:val="009F5577"/>
    <w:rsid w:val="00A02680"/>
    <w:rsid w:val="00A06D1A"/>
    <w:rsid w:val="00A213DD"/>
    <w:rsid w:val="00A236B2"/>
    <w:rsid w:val="00A36417"/>
    <w:rsid w:val="00A37120"/>
    <w:rsid w:val="00A47B1D"/>
    <w:rsid w:val="00A522F0"/>
    <w:rsid w:val="00A54B56"/>
    <w:rsid w:val="00A57570"/>
    <w:rsid w:val="00A76C3F"/>
    <w:rsid w:val="00A80D66"/>
    <w:rsid w:val="00A844F0"/>
    <w:rsid w:val="00A86084"/>
    <w:rsid w:val="00A8706F"/>
    <w:rsid w:val="00A90E05"/>
    <w:rsid w:val="00AA6685"/>
    <w:rsid w:val="00AC2AD7"/>
    <w:rsid w:val="00AC5E27"/>
    <w:rsid w:val="00AD130B"/>
    <w:rsid w:val="00AE459D"/>
    <w:rsid w:val="00B0365F"/>
    <w:rsid w:val="00B11EF2"/>
    <w:rsid w:val="00B13107"/>
    <w:rsid w:val="00B24901"/>
    <w:rsid w:val="00B24AB9"/>
    <w:rsid w:val="00B33764"/>
    <w:rsid w:val="00B35D64"/>
    <w:rsid w:val="00B37820"/>
    <w:rsid w:val="00B61DC3"/>
    <w:rsid w:val="00B65FDE"/>
    <w:rsid w:val="00B92C0A"/>
    <w:rsid w:val="00B95768"/>
    <w:rsid w:val="00BA370E"/>
    <w:rsid w:val="00BA59C0"/>
    <w:rsid w:val="00BB08D1"/>
    <w:rsid w:val="00BD5FEE"/>
    <w:rsid w:val="00BF2C5E"/>
    <w:rsid w:val="00BF4D76"/>
    <w:rsid w:val="00BF7753"/>
    <w:rsid w:val="00BF7C13"/>
    <w:rsid w:val="00C00C29"/>
    <w:rsid w:val="00C064AA"/>
    <w:rsid w:val="00C121B0"/>
    <w:rsid w:val="00C147B3"/>
    <w:rsid w:val="00C17E23"/>
    <w:rsid w:val="00C35220"/>
    <w:rsid w:val="00C355A8"/>
    <w:rsid w:val="00C4273D"/>
    <w:rsid w:val="00C43A70"/>
    <w:rsid w:val="00C43ABA"/>
    <w:rsid w:val="00C44ECE"/>
    <w:rsid w:val="00C545F6"/>
    <w:rsid w:val="00C62174"/>
    <w:rsid w:val="00C64621"/>
    <w:rsid w:val="00C675A5"/>
    <w:rsid w:val="00C92472"/>
    <w:rsid w:val="00C92DE5"/>
    <w:rsid w:val="00C9336B"/>
    <w:rsid w:val="00CB33FC"/>
    <w:rsid w:val="00CD25C1"/>
    <w:rsid w:val="00CD6F5E"/>
    <w:rsid w:val="00CE0E43"/>
    <w:rsid w:val="00CF1302"/>
    <w:rsid w:val="00CF24E5"/>
    <w:rsid w:val="00D02EAD"/>
    <w:rsid w:val="00D225D1"/>
    <w:rsid w:val="00D235CA"/>
    <w:rsid w:val="00D27984"/>
    <w:rsid w:val="00D362A2"/>
    <w:rsid w:val="00D41F18"/>
    <w:rsid w:val="00D47520"/>
    <w:rsid w:val="00D6461A"/>
    <w:rsid w:val="00D80B19"/>
    <w:rsid w:val="00D8566E"/>
    <w:rsid w:val="00D952F2"/>
    <w:rsid w:val="00DA56A6"/>
    <w:rsid w:val="00DA5823"/>
    <w:rsid w:val="00DC14E5"/>
    <w:rsid w:val="00DE3153"/>
    <w:rsid w:val="00DE4E2D"/>
    <w:rsid w:val="00DE731A"/>
    <w:rsid w:val="00DF01C0"/>
    <w:rsid w:val="00DF631C"/>
    <w:rsid w:val="00E0251D"/>
    <w:rsid w:val="00E20990"/>
    <w:rsid w:val="00E37D20"/>
    <w:rsid w:val="00E44D73"/>
    <w:rsid w:val="00E56420"/>
    <w:rsid w:val="00E677AD"/>
    <w:rsid w:val="00E82881"/>
    <w:rsid w:val="00E943B1"/>
    <w:rsid w:val="00EB1E42"/>
    <w:rsid w:val="00ED34AB"/>
    <w:rsid w:val="00ED399B"/>
    <w:rsid w:val="00EE02BD"/>
    <w:rsid w:val="00EE46A5"/>
    <w:rsid w:val="00EE49F4"/>
    <w:rsid w:val="00EF1173"/>
    <w:rsid w:val="00EF736A"/>
    <w:rsid w:val="00F21560"/>
    <w:rsid w:val="00F24B7A"/>
    <w:rsid w:val="00F327BC"/>
    <w:rsid w:val="00F34983"/>
    <w:rsid w:val="00F43EB0"/>
    <w:rsid w:val="00F67EB6"/>
    <w:rsid w:val="00F71AD9"/>
    <w:rsid w:val="00F80B85"/>
    <w:rsid w:val="00F92274"/>
    <w:rsid w:val="00F934E6"/>
    <w:rsid w:val="00F9649C"/>
    <w:rsid w:val="00FA7428"/>
    <w:rsid w:val="00FB5406"/>
    <w:rsid w:val="00FD2D55"/>
    <w:rsid w:val="00FE2CC9"/>
    <w:rsid w:val="00FE7C18"/>
    <w:rsid w:val="00FF0C2C"/>
    <w:rsid w:val="062250B0"/>
    <w:rsid w:val="077310CE"/>
    <w:rsid w:val="08026160"/>
    <w:rsid w:val="0A9F13F9"/>
    <w:rsid w:val="0F0224E9"/>
    <w:rsid w:val="10174529"/>
    <w:rsid w:val="12134AFE"/>
    <w:rsid w:val="12C27CAC"/>
    <w:rsid w:val="13CA01C9"/>
    <w:rsid w:val="1B063336"/>
    <w:rsid w:val="1F7428E8"/>
    <w:rsid w:val="218D74D5"/>
    <w:rsid w:val="226A4962"/>
    <w:rsid w:val="247C3CC5"/>
    <w:rsid w:val="29850910"/>
    <w:rsid w:val="2A8E45C7"/>
    <w:rsid w:val="312C1A77"/>
    <w:rsid w:val="36BE0BA5"/>
    <w:rsid w:val="3BFE2CDF"/>
    <w:rsid w:val="438027F3"/>
    <w:rsid w:val="47763262"/>
    <w:rsid w:val="48D26A70"/>
    <w:rsid w:val="4CDE3442"/>
    <w:rsid w:val="56D05C63"/>
    <w:rsid w:val="57D81586"/>
    <w:rsid w:val="5BE57381"/>
    <w:rsid w:val="5E285F3B"/>
    <w:rsid w:val="69D71D92"/>
    <w:rsid w:val="6D1D77D3"/>
    <w:rsid w:val="721457E7"/>
    <w:rsid w:val="73302699"/>
    <w:rsid w:val="78AD7C09"/>
    <w:rsid w:val="7EEE08E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3">
    <w:name w:val="footer"/>
    <w:basedOn w:val="1"/>
    <w:link w:val="11"/>
    <w:uiPriority w:val="0"/>
    <w:pPr>
      <w:tabs>
        <w:tab w:val="center" w:pos="4153"/>
        <w:tab w:val="right" w:pos="8306"/>
      </w:tabs>
      <w:snapToGrid w:val="0"/>
      <w:jc w:val="left"/>
    </w:pPr>
    <w:rPr>
      <w:sz w:val="18"/>
      <w:szCs w:val="18"/>
    </w:rPr>
  </w:style>
  <w:style w:type="paragraph" w:styleId="4">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uiPriority w:val="99"/>
    <w:pPr>
      <w:widowControl/>
      <w:spacing w:before="100" w:beforeAutospacing="1" w:after="100" w:afterAutospacing="1"/>
      <w:jc w:val="left"/>
    </w:pPr>
    <w:rPr>
      <w:rFonts w:ascii="宋体" w:hAnsi="宋体" w:cs="宋体"/>
      <w:kern w:val="0"/>
      <w:sz w:val="24"/>
    </w:rPr>
  </w:style>
  <w:style w:type="table" w:styleId="7">
    <w:name w:val="Table Grid"/>
    <w:basedOn w:val="6"/>
    <w:uiPriority w:val="0"/>
    <w:pPr>
      <w:widowControl w:val="0"/>
      <w:jc w:val="both"/>
    </w:pPr>
    <w:tblPr>
      <w:tblStyle w:val="6"/>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qFormat/>
    <w:uiPriority w:val="0"/>
    <w:rPr>
      <w:b/>
    </w:rPr>
  </w:style>
  <w:style w:type="character" w:customStyle="1" w:styleId="10">
    <w:name w:val="页眉 Char"/>
    <w:link w:val="4"/>
    <w:uiPriority w:val="0"/>
    <w:rPr>
      <w:kern w:val="2"/>
      <w:sz w:val="18"/>
      <w:szCs w:val="18"/>
    </w:rPr>
  </w:style>
  <w:style w:type="character" w:customStyle="1" w:styleId="11">
    <w:name w:val="页脚 Char"/>
    <w:link w:val="3"/>
    <w:uiPriority w:val="0"/>
    <w:rPr>
      <w:kern w:val="2"/>
      <w:sz w:val="18"/>
      <w:szCs w:val="18"/>
    </w:rPr>
  </w:style>
  <w:style w:type="paragraph" w:customStyle="1" w:styleId="12">
    <w:name w:val="样式1"/>
    <w:basedOn w:val="2"/>
    <w:qFormat/>
    <w:uiPriority w:val="0"/>
    <w:pPr>
      <w:spacing w:line="360" w:lineRule="auto"/>
      <w:jc w:val="center"/>
    </w:pPr>
    <w:rPr>
      <w:rFonts w:ascii="微软雅黑" w:hAnsi="微软雅黑" w:eastAsia="微软雅黑"/>
      <w:sz w:val="32"/>
      <w:szCs w:val="32"/>
    </w:rPr>
  </w:style>
  <w:style w:type="paragraph" w:styleId="13">
    <w:name w:val="List Paragraph"/>
    <w:basedOn w:val="1"/>
    <w:qFormat/>
    <w:uiPriority w:val="34"/>
    <w:pPr>
      <w:ind w:firstLine="420" w:firstLineChars="200"/>
    </w:pPr>
    <w:rPr>
      <w:rFonts w:ascii="等线" w:hAnsi="等线" w:eastAsia="等线" w:cs="Times New Roman"/>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7</Pages>
  <Words>5719</Words>
  <Characters>5738</Characters>
  <Lines>42</Lines>
  <Paragraphs>12</Paragraphs>
  <TotalTime>0</TotalTime>
  <ScaleCrop>false</ScaleCrop>
  <LinksUpToDate>false</LinksUpToDate>
  <CharactersWithSpaces>5778</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2022-01-05T09:04:00Z</dcterms:created>
  <dc:creator>微软中国</dc:creator>
  <cp:lastModifiedBy>蓉儿</cp:lastModifiedBy>
  <dcterms:modified xsi:type="dcterms:W3CDTF">2023-01-04T08:15:48Z</dcterms:modified>
  <dc:title>在当前房地产行业中，设计管理一直是各地产公司管理的焦点和难点</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AB65FACA72B442F3881F7FFB6DD53F77</vt:lpwstr>
  </property>
</Properties>
</file>