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sz w:val="24"/>
        </w:rPr>
      </w:pPr>
      <w:bookmarkStart w:id="11" w:name="_GoBack"/>
      <w:bookmarkEnd w:id="11"/>
      <w:r>
        <w:rPr>
          <w:rFonts w:hint="eastAsia" w:ascii="微软雅黑" w:hAnsi="微软雅黑" w:eastAsia="微软雅黑" w:cs="微软雅黑"/>
          <w:b/>
          <w:bCs/>
          <w:sz w:val="24"/>
        </w:rPr>
        <w:t>标杆房企项目总角色定位与全周期项目管理能力提升要点及实战案例</w:t>
      </w:r>
    </w:p>
    <w:p>
      <w:pPr>
        <w:spacing w:line="480" w:lineRule="exact"/>
        <w:jc w:val="center"/>
        <w:rPr>
          <w:rFonts w:ascii="微软雅黑" w:hAnsi="微软雅黑" w:eastAsia="微软雅黑" w:cs="微软雅黑"/>
          <w:b/>
          <w:bCs/>
          <w:sz w:val="24"/>
        </w:rPr>
      </w:pPr>
    </w:p>
    <w:p>
      <w:pPr>
        <w:spacing w:line="480" w:lineRule="exact"/>
        <w:rPr>
          <w:rFonts w:ascii="微软雅黑" w:hAnsi="微软雅黑" w:eastAsia="微软雅黑" w:cs="微软雅黑"/>
          <w:sz w:val="24"/>
        </w:rPr>
      </w:pPr>
      <w:r>
        <w:rPr>
          <w:b/>
          <w:bCs/>
          <w:sz w:val="24"/>
        </w:rPr>
        <mc:AlternateContent>
          <mc:Choice Requires="wps">
            <w:drawing>
              <wp:anchor distT="0" distB="0" distL="114300" distR="114300" simplePos="0" relativeHeight="251662336" behindDoc="0" locked="0" layoutInCell="1" allowOverlap="1">
                <wp:simplePos x="0" y="0"/>
                <wp:positionH relativeFrom="column">
                  <wp:posOffset>128905</wp:posOffset>
                </wp:positionH>
                <wp:positionV relativeFrom="paragraph">
                  <wp:posOffset>209550</wp:posOffset>
                </wp:positionV>
                <wp:extent cx="1064895" cy="374015"/>
                <wp:effectExtent l="12700" t="6985" r="8255" b="9525"/>
                <wp:wrapSquare wrapText="bothSides"/>
                <wp:docPr id="15"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64895" cy="374015"/>
                        </a:xfrm>
                        <a:prstGeom prst="rect">
                          <a:avLst/>
                        </a:prstGeom>
                        <a:solidFill>
                          <a:srgbClr val="000000"/>
                        </a:solidFill>
                        <a:ln w="9525">
                          <a:solidFill>
                            <a:srgbClr val="1F497D"/>
                          </a:solidFill>
                          <a:miter lim="800000"/>
                        </a:ln>
                        <a:effectLst/>
                      </wps:spPr>
                      <wps:txbx>
                        <w:txbxContent>
                          <w:p>
                            <w:pPr>
                              <w:spacing w:line="360" w:lineRule="exact"/>
                              <w:rPr>
                                <w:color w:val="FFFFFF"/>
                              </w:rPr>
                            </w:pPr>
                            <w:r>
                              <w:rPr>
                                <w:rFonts w:hint="eastAsia" w:ascii="微软雅黑" w:hAnsi="微软雅黑" w:eastAsia="微软雅黑" w:cs="微软雅黑"/>
                                <w:b/>
                                <w:bCs/>
                                <w:color w:val="FFFFFF"/>
                                <w:sz w:val="24"/>
                              </w:rPr>
                              <w:t>【课程背景】</w:t>
                            </w:r>
                          </w:p>
                        </w:txbxContent>
                      </wps:txbx>
                      <wps:bodyPr rot="0" vert="horz" wrap="square" lIns="91440" tIns="45720" rIns="91440" bIns="45720" anchor="t" anchorCtr="0" upright="1">
                        <a:noAutofit/>
                      </wps:bodyPr>
                    </wps:wsp>
                  </a:graphicData>
                </a:graphic>
              </wp:anchor>
            </w:drawing>
          </mc:Choice>
          <mc:Fallback>
            <w:pict>
              <v:shape id="文本框 10" o:spid="_x0000_s1026" o:spt="202" type="#_x0000_t202" style="position:absolute;left:0pt;margin-left:10.15pt;margin-top:16.5pt;height:29.45pt;width:83.85pt;mso-wrap-distance-bottom:0pt;mso-wrap-distance-left:9pt;mso-wrap-distance-right:9pt;mso-wrap-distance-top:0pt;z-index:251662336;mso-width-relative:page;mso-height-relative:page;" fillcolor="#000000" filled="t" stroked="t" coordsize="21600,21600" o:gfxdata="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BNiG1wAAAAgBAAAPAAAAAAAAAAEA&#10;IAAAACIAAABkcnMvZG93bnJldi54bWxQSwECFAAUAAAACACHTuJAb0xuVkkCAACXBAAADgAAAAAA&#10;AAABACAAAAAmAQAAZHJzL2Uyb0RvYy54bWxQSwUGAAAAAAYABgBZAQAA4QUAAAAA&#10;">
                <v:fill on="t" focussize="0,0"/>
                <v:stroke color="#1F497D" miterlimit="8"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【课程背景】</w:t>
                      </w:r>
                    </w:p>
                  </w:txbxContent>
                </v:textbox>
                <w10:wrap type="square"/>
              </v:shape>
            </w:pict>
          </mc:Fallback>
        </mc:AlternateContent>
      </w:r>
    </w:p>
    <w:p>
      <w:pPr>
        <w:spacing w:line="480" w:lineRule="exact"/>
        <w:rPr>
          <w:rFonts w:ascii="微软雅黑" w:hAnsi="微软雅黑" w:eastAsia="微软雅黑" w:cs="微软雅黑"/>
          <w:sz w:val="24"/>
        </w:rPr>
      </w:pP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项目是房企经营管理的基本单元，项目总是项目管理团队的核心，需要对开发项目的经营和管理负责，不仅要覆盖开发全过程的管理，更包括项目经营的利润指标和最终交付的产品。因此，项目总角色定位、能力提升及如何</w:t>
      </w:r>
      <w:bookmarkStart w:id="0" w:name="_Hlk118434148"/>
      <w:r>
        <w:rPr>
          <w:rFonts w:hint="eastAsia" w:ascii="微软雅黑" w:hAnsi="微软雅黑" w:eastAsia="微软雅黑" w:cs="微软雅黑"/>
          <w:sz w:val="24"/>
        </w:rPr>
        <w:t>把控好项目目标</w:t>
      </w:r>
      <w:bookmarkEnd w:id="0"/>
      <w:r>
        <w:rPr>
          <w:rFonts w:hint="eastAsia" w:ascii="微软雅黑" w:hAnsi="微软雅黑" w:eastAsia="微软雅黑" w:cs="微软雅黑"/>
          <w:sz w:val="24"/>
        </w:rPr>
        <w:t>，是项目成功与否的关键。</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项目总的总体素质要求和管理要点首先是“统筹运营、用好人”，即打破部门间的技术壁垒统筹管理好团队；在管控上</w:t>
      </w:r>
      <w:r>
        <w:rPr>
          <w:rFonts w:ascii="微软雅黑" w:hAnsi="微软雅黑" w:eastAsia="微软雅黑" w:cs="微软雅黑"/>
          <w:sz w:val="24"/>
        </w:rPr>
        <w:t>项目总要做到的是懂而不是会；</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在专业能力项目统领上，</w:t>
      </w:r>
      <w:r>
        <w:rPr>
          <w:rFonts w:ascii="微软雅黑" w:hAnsi="微软雅黑" w:eastAsia="微软雅黑" w:cs="微软雅黑"/>
          <w:sz w:val="24"/>
        </w:rPr>
        <w:t>项目总要抓好项目</w:t>
      </w:r>
      <w:r>
        <w:rPr>
          <w:rFonts w:hint="eastAsia" w:ascii="微软雅黑" w:hAnsi="微软雅黑" w:eastAsia="微软雅黑" w:cs="微软雅黑"/>
          <w:sz w:val="24"/>
        </w:rPr>
        <w:t>开发的核心要点，并紧紧抓住</w:t>
      </w:r>
      <w:r>
        <w:rPr>
          <w:rFonts w:ascii="微软雅黑" w:hAnsi="微软雅黑" w:eastAsia="微软雅黑" w:cs="微软雅黑"/>
          <w:sz w:val="24"/>
        </w:rPr>
        <w:t>成功的三个</w:t>
      </w:r>
      <w:r>
        <w:rPr>
          <w:rFonts w:hint="eastAsia" w:ascii="微软雅黑" w:hAnsi="微软雅黑" w:eastAsia="微软雅黑" w:cs="微软雅黑"/>
          <w:sz w:val="24"/>
        </w:rPr>
        <w:t>关键</w:t>
      </w:r>
      <w:r>
        <w:rPr>
          <w:rFonts w:ascii="微软雅黑" w:hAnsi="微软雅黑" w:eastAsia="微软雅黑" w:cs="微软雅黑"/>
          <w:sz w:val="24"/>
        </w:rPr>
        <w:t>：土地投资决定项目成败的70%，要永远放在第一位；设计成本占到总成本的70%，要做好图纸会审、产品定位和相关工作；前期策划</w:t>
      </w:r>
      <w:r>
        <w:rPr>
          <w:rFonts w:hint="eastAsia" w:ascii="微软雅黑" w:hAnsi="微软雅黑" w:eastAsia="微软雅黑" w:cs="微软雅黑"/>
          <w:sz w:val="24"/>
        </w:rPr>
        <w:t>、方案确认</w:t>
      </w:r>
      <w:r>
        <w:rPr>
          <w:rFonts w:ascii="微软雅黑" w:hAnsi="微软雅黑" w:eastAsia="微软雅黑" w:cs="微软雅黑"/>
          <w:sz w:val="24"/>
        </w:rPr>
        <w:t>决定运营成功的70%，要参与到前期策划</w:t>
      </w:r>
      <w:r>
        <w:rPr>
          <w:rFonts w:hint="eastAsia" w:ascii="微软雅黑" w:hAnsi="微软雅黑" w:eastAsia="微软雅黑" w:cs="微软雅黑"/>
          <w:sz w:val="24"/>
        </w:rPr>
        <w:t>设计</w:t>
      </w:r>
      <w:r>
        <w:rPr>
          <w:rFonts w:ascii="微软雅黑" w:hAnsi="微软雅黑" w:eastAsia="微软雅黑" w:cs="微软雅黑"/>
          <w:sz w:val="24"/>
        </w:rPr>
        <w:t>。</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项目总遇到的痛点，在工程上的前期设计和招采，进度、成本及税收统筹等，如何前置把问题解决在前端？如何控制施工进度、合约界面、过程成本、项目风险及如何解决过程常见的质量通病？在管理上职能部门本位主义严重，专业部门各自为政、跨部门协作费时费心，如何掌握沟通技巧、高效协调资源，让员工快乐阳光工作？在外部如何与合作供方及政府监管部门谈判以获得更好的项目支持？这些都是项目管理中常见的问题，也是本课程分析研究的重点。</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年地产企业管理经历），结合清华大学工程制造业的管理方法，通过对100多个与项目管理有关的实际操作案例进行情景解剖，导出能够适合大多数地产企业提升项目总管理能力</w:t>
      </w:r>
      <w:r>
        <w:rPr>
          <w:rFonts w:ascii="微软雅黑" w:hAnsi="微软雅黑" w:eastAsia="微软雅黑" w:cs="微软雅黑"/>
          <w:sz w:val="24"/>
        </w:rPr>
        <w:t>的</w:t>
      </w:r>
      <w:r>
        <w:rPr>
          <w:rFonts w:hint="eastAsia" w:ascii="微软雅黑" w:hAnsi="微软雅黑" w:eastAsia="微软雅黑" w:cs="微软雅黑"/>
          <w:sz w:val="24"/>
        </w:rPr>
        <w:t>管理思路和技巧，以及切实落地的手段及措施。</w:t>
      </w:r>
    </w:p>
    <w:p>
      <w:pPr>
        <w:spacing w:line="480" w:lineRule="exact"/>
        <w:ind w:firstLine="480" w:firstLineChars="200"/>
        <w:rPr>
          <w:rFonts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本次课程特点是将标杆地产企业项目管理的实战经验与清华大学制造业经典管理理论密切结合，实操案例多、启发性强，同时可与学员有较多的深度互动，通过互动交流来进一步梳理学员的管理思路及实战操作。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ascii="微软雅黑" w:hAnsi="微软雅黑" w:eastAsia="微软雅黑" w:cs="微软雅黑"/>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162560</wp:posOffset>
                </wp:positionV>
                <wp:extent cx="1064895" cy="374015"/>
                <wp:effectExtent l="11430" t="7620" r="9525" b="8890"/>
                <wp:wrapSquare wrapText="bothSides"/>
                <wp:docPr id="14" name="文本框 7"/>
                <wp:cNvGraphicFramePr/>
                <a:graphic xmlns:a="http://schemas.openxmlformats.org/drawingml/2006/main">
                  <a:graphicData uri="http://schemas.microsoft.com/office/word/2010/wordprocessingShape">
                    <wps:wsp>
                      <wps:cNvSpPr txBox="1">
                        <a:spLocks noChangeArrowheads="1"/>
                      </wps:cNvSpPr>
                      <wps:spPr bwMode="auto">
                        <a:xfrm>
                          <a:off x="0" y="0"/>
                          <a:ext cx="1064895" cy="374015"/>
                        </a:xfrm>
                        <a:prstGeom prst="rect">
                          <a:avLst/>
                        </a:prstGeom>
                        <a:solidFill>
                          <a:srgbClr val="000000"/>
                        </a:solidFill>
                        <a:ln w="9525">
                          <a:solidFill>
                            <a:srgbClr val="1F497D"/>
                          </a:solidFill>
                          <a:miter lim="800000"/>
                        </a:ln>
                        <a:effectLst/>
                      </wps:spPr>
                      <wps:txbx>
                        <w:txbxContent>
                          <w:p>
                            <w:pPr>
                              <w:spacing w:line="360" w:lineRule="exact"/>
                              <w:rPr>
                                <w:color w:val="FFFFFF"/>
                              </w:rPr>
                            </w:pPr>
                            <w:r>
                              <w:rPr>
                                <w:rFonts w:hint="eastAsia" w:ascii="微软雅黑" w:hAnsi="微软雅黑" w:eastAsia="微软雅黑" w:cs="微软雅黑"/>
                                <w:b/>
                                <w:bCs/>
                                <w:color w:val="FFFFFF"/>
                                <w:sz w:val="24"/>
                              </w:rPr>
                              <w:t>【课程收益】</w:t>
                            </w:r>
                          </w:p>
                        </w:txbxContent>
                      </wps:txbx>
                      <wps:bodyPr rot="0" vert="horz" wrap="square" lIns="91440" tIns="45720" rIns="91440" bIns="45720" anchor="t" anchorCtr="0" upright="1">
                        <a:noAutofit/>
                      </wps:bodyPr>
                    </wps:wsp>
                  </a:graphicData>
                </a:graphic>
              </wp:anchor>
            </w:drawing>
          </mc:Choice>
          <mc:Fallback>
            <w:pict>
              <v:shape id="文本框 7" o:spid="_x0000_s1026" o:spt="202" type="#_x0000_t202" style="position:absolute;left:0pt;margin-left:7.8pt;margin-top:12.8pt;height:29.45pt;width:83.85pt;mso-wrap-distance-bottom:0pt;mso-wrap-distance-left:9pt;mso-wrap-distance-right:9pt;mso-wrap-distance-top:0pt;z-index:251659264;mso-width-relative:page;mso-height-relative:page;" fillcolor="#000000" filled="t" stroked="t" coordsize="21600,21600" o:gfxdata="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oHodzXAAAACAEAAA8AAAAAAAAA&#10;AQAgAAAAIgAAAGRycy9kb3ducmV2LnhtbFBLAQIUABQAAAAIAIdO4kCbg1O8SwIAAJYEAAAOAAAA&#10;AAAAAAEAIAAAACYBAABkcnMvZTJvRG9jLnhtbFBLBQYAAAAABgAGAFkBAADjBQAAAAA=&#10;">
                <v:fill on="t" focussize="0,0"/>
                <v:stroke color="#1F497D" miterlimit="8"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【课程收益】</w:t>
                      </w:r>
                    </w:p>
                  </w:txbxContent>
                </v:textbox>
                <w10:wrap type="square"/>
              </v:shape>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r>
        <w:rPr>
          <w:rFonts w:hint="eastAsia" w:ascii="微软雅黑" w:hAnsi="微软雅黑" w:eastAsia="微软雅黑" w:cs="微软雅黑"/>
          <w:color w:val="333333"/>
          <w:kern w:val="0"/>
          <w:sz w:val="24"/>
          <w:shd w:val="clear" w:color="auto" w:fill="FFFFFF"/>
          <w:lang w:bidi="ar"/>
        </w:rPr>
        <w:t>本课程通过标杆房企项目总对房地产项目开发和经营目标分析，着眼项目总角色定位与岗位职责胜任四大能力要求的辨识与提升，全面系统地解剖房地产项目的操盘要点，同时着重分析解决项目内、外的管控实际难题。适合公司董事会、集团或区域总部、项目总、及其率领的团队等不同角色，全面了解房地产业务的统筹运营，以及项目从拿地设计到开发销售交付客服等全过程运营管控的各环节要点，从而为胜任项目经营和管理能力的提升设定目标；课程同时覆盖项目总核心能力提升的路径和方法、技巧等传授，以及项目开发各阶段的专业化、规范化、制度化等科学决策的工作方法和技能传授，整体提升受训项目总的专业素养和履职能力，整体提高项目运作的科学性，降低项目风险，打造职业化的房地产企业项目经理人队伍。</w:t>
      </w:r>
    </w:p>
    <w:p>
      <w:pPr>
        <w:spacing w:line="480" w:lineRule="exact"/>
        <w:rPr>
          <w:rFonts w:ascii="微软雅黑" w:hAnsi="微软雅黑" w:eastAsia="微软雅黑" w:cs="微软雅黑"/>
          <w:b/>
          <w:bCs/>
          <w:color w:val="FF0000"/>
          <w:sz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99060</wp:posOffset>
                </wp:positionH>
                <wp:positionV relativeFrom="paragraph">
                  <wp:posOffset>157480</wp:posOffset>
                </wp:positionV>
                <wp:extent cx="1064895" cy="374015"/>
                <wp:effectExtent l="0" t="0" r="20955" b="26035"/>
                <wp:wrapSquare wrapText="bothSides"/>
                <wp:docPr id="2" name="文本框 8"/>
                <wp:cNvGraphicFramePr/>
                <a:graphic xmlns:a="http://schemas.openxmlformats.org/drawingml/2006/main">
                  <a:graphicData uri="http://schemas.microsoft.com/office/word/2010/wordprocessingShape">
                    <wps:wsp>
                      <wps:cNvSpPr txBox="1">
                        <a:spLocks noChangeArrowheads="1"/>
                      </wps:cNvSpPr>
                      <wps:spPr bwMode="auto">
                        <a:xfrm>
                          <a:off x="0" y="0"/>
                          <a:ext cx="1064895" cy="374015"/>
                        </a:xfrm>
                        <a:prstGeom prst="rect">
                          <a:avLst/>
                        </a:prstGeom>
                        <a:solidFill>
                          <a:srgbClr val="000000"/>
                        </a:solidFill>
                        <a:ln w="9525">
                          <a:solidFill>
                            <a:srgbClr val="1F497D"/>
                          </a:solidFill>
                          <a:miter lim="800000"/>
                        </a:ln>
                        <a:effectLst/>
                      </wps:spPr>
                      <wps:txbx>
                        <w:txbxContent>
                          <w:p>
                            <w:pPr>
                              <w:spacing w:line="360" w:lineRule="exact"/>
                              <w:rPr>
                                <w:color w:val="FFFFFF"/>
                              </w:rPr>
                            </w:pPr>
                            <w:r>
                              <w:rPr>
                                <w:rFonts w:hint="eastAsia" w:ascii="微软雅黑" w:hAnsi="微软雅黑" w:eastAsia="微软雅黑" w:cs="微软雅黑"/>
                                <w:b/>
                                <w:bCs/>
                                <w:color w:val="FFFFFF"/>
                                <w:sz w:val="24"/>
                              </w:rPr>
                              <w:t>【课程对象】</w:t>
                            </w:r>
                          </w:p>
                        </w:txbxContent>
                      </wps:txbx>
                      <wps:bodyPr rot="0" vert="horz" wrap="square" lIns="91440" tIns="45720" rIns="91440" bIns="45720" anchor="t" anchorCtr="0" upright="1">
                        <a:noAutofit/>
                      </wps:bodyPr>
                    </wps:wsp>
                  </a:graphicData>
                </a:graphic>
              </wp:anchor>
            </w:drawing>
          </mc:Choice>
          <mc:Fallback>
            <w:pict>
              <v:shape id="文本框 8" o:spid="_x0000_s1026" o:spt="202" type="#_x0000_t202" style="position:absolute;left:0pt;margin-left:7.8pt;margin-top:12.4pt;height:29.45pt;width:83.85pt;mso-wrap-distance-bottom:0pt;mso-wrap-distance-left:9pt;mso-wrap-distance-right:9pt;mso-wrap-distance-top:0pt;z-index:251660288;mso-width-relative:page;mso-height-relative:page;" fillcolor="#000000" filled="t" stroked="t" coordsize="21600,21600" o:gfxdata="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X2wXDXAAAACAEAAA8AAAAAAAAA&#10;AQAgAAAAIgAAAGRycy9kb3ducmV2LnhtbFBLAQIUABQAAAAIAIdO4kAzXT2SSwIAAJUEAAAOAAAA&#10;AAAAAAEAIAAAACYBAABkcnMvZTJvRG9jLnhtbFBLBQYAAAAABgAGAFkBAADjBQAAAAA=&#10;">
                <v:fill on="t" focussize="0,0"/>
                <v:stroke color="#1F497D" miterlimit="8"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【课程对象】</w:t>
                      </w:r>
                    </w:p>
                  </w:txbxContent>
                </v:textbox>
                <w10:wrap type="square"/>
              </v:shape>
            </w:pict>
          </mc:Fallback>
        </mc:AlternateContent>
      </w:r>
    </w:p>
    <w:p>
      <w:pPr>
        <w:spacing w:line="480" w:lineRule="exact"/>
        <w:ind w:firstLine="960" w:firstLineChars="400"/>
        <w:rPr>
          <w:rFonts w:ascii="微软雅黑" w:hAnsi="微软雅黑" w:eastAsia="微软雅黑" w:cs="微软雅黑"/>
          <w:sz w:val="24"/>
        </w:rPr>
      </w:pPr>
    </w:p>
    <w:p>
      <w:pPr>
        <w:pStyle w:val="13"/>
        <w:numPr>
          <w:ilvl w:val="0"/>
          <w:numId w:val="1"/>
        </w:numPr>
        <w:ind w:firstLineChars="0"/>
        <w:jc w:val="left"/>
        <w:rPr>
          <w:rFonts w:ascii="微软雅黑" w:hAnsi="微软雅黑" w:eastAsia="微软雅黑"/>
          <w:b/>
          <w:sz w:val="24"/>
        </w:rPr>
      </w:pPr>
      <w:r>
        <w:rPr>
          <w:rFonts w:hint="eastAsia" w:ascii="微软雅黑" w:hAnsi="微软雅黑" w:eastAsia="微软雅黑"/>
          <w:b/>
          <w:sz w:val="24"/>
        </w:rPr>
        <w:t>房地产企业总裁、分管副总裁、项目总经理；</w:t>
      </w:r>
    </w:p>
    <w:p>
      <w:pPr>
        <w:pStyle w:val="13"/>
        <w:numPr>
          <w:ilvl w:val="0"/>
          <w:numId w:val="1"/>
        </w:numPr>
        <w:ind w:firstLineChars="0"/>
        <w:jc w:val="left"/>
        <w:rPr>
          <w:rFonts w:ascii="微软雅黑" w:hAnsi="微软雅黑" w:eastAsia="微软雅黑"/>
          <w:b/>
          <w:sz w:val="24"/>
        </w:rPr>
      </w:pPr>
      <w:r>
        <w:rPr>
          <w:rFonts w:hint="eastAsia" w:ascii="微软雅黑" w:hAnsi="微软雅黑" w:eastAsia="微软雅黑"/>
          <w:b/>
          <w:sz w:val="24"/>
        </w:rPr>
        <w:t>房地产企业拟按项目总标准培养的各专业部门经理；</w:t>
      </w:r>
    </w:p>
    <w:p>
      <w:pPr>
        <w:pStyle w:val="13"/>
        <w:numPr>
          <w:ilvl w:val="0"/>
          <w:numId w:val="1"/>
        </w:numPr>
        <w:ind w:firstLineChars="0"/>
        <w:jc w:val="left"/>
        <w:rPr>
          <w:rFonts w:ascii="微软雅黑" w:hAnsi="微软雅黑" w:eastAsia="微软雅黑"/>
          <w:b/>
          <w:sz w:val="24"/>
        </w:rPr>
      </w:pPr>
      <w:r>
        <w:rPr>
          <w:rFonts w:hint="eastAsia" w:ascii="微软雅黑" w:hAnsi="微软雅黑" w:eastAsia="微软雅黑"/>
          <w:b/>
          <w:sz w:val="24"/>
        </w:rPr>
        <w:t>项目总经理储备人才、各职能部门营销、财务、工程、设计、采购、成本、运营等</w:t>
      </w:r>
      <w:bookmarkStart w:id="1" w:name="teacher"/>
      <w:bookmarkEnd w:id="1"/>
      <w:r>
        <w:rPr>
          <w:rFonts w:hint="eastAsia" w:ascii="微软雅黑" w:hAnsi="微软雅黑" w:eastAsia="微软雅黑"/>
          <w:b/>
          <w:sz w:val="24"/>
        </w:rPr>
        <w:t>负责人等。</w:t>
      </w:r>
    </w:p>
    <w:p>
      <w:pPr>
        <w:spacing w:line="480" w:lineRule="exact"/>
        <w:ind w:firstLine="960" w:firstLineChars="400"/>
        <w:rPr>
          <w:rFonts w:ascii="微软雅黑" w:hAnsi="微软雅黑" w:eastAsia="微软雅黑" w:cs="微软雅黑"/>
          <w:b/>
          <w:bCs/>
          <w:color w:val="FF0000"/>
          <w:sz w:val="24"/>
        </w:rPr>
      </w:pPr>
    </w:p>
    <w:p>
      <w:pPr>
        <w:widowControl/>
        <w:spacing w:line="440" w:lineRule="exact"/>
        <w:jc w:val="left"/>
      </w:pPr>
      <w:r>
        <w:rPr>
          <w:sz w:val="24"/>
        </w:rPr>
        <mc:AlternateContent>
          <mc:Choice Requires="wps">
            <w:drawing>
              <wp:anchor distT="0" distB="0" distL="114300" distR="114300" simplePos="0" relativeHeight="251661312" behindDoc="0" locked="0" layoutInCell="1" allowOverlap="1">
                <wp:simplePos x="0" y="0"/>
                <wp:positionH relativeFrom="column">
                  <wp:posOffset>101600</wp:posOffset>
                </wp:positionH>
                <wp:positionV relativeFrom="paragraph">
                  <wp:posOffset>135255</wp:posOffset>
                </wp:positionV>
                <wp:extent cx="1064895" cy="374015"/>
                <wp:effectExtent l="0" t="0" r="20955" b="26035"/>
                <wp:wrapSquare wrapText="bothSides"/>
                <wp:docPr id="1" name="文本框 9"/>
                <wp:cNvGraphicFramePr/>
                <a:graphic xmlns:a="http://schemas.openxmlformats.org/drawingml/2006/main">
                  <a:graphicData uri="http://schemas.microsoft.com/office/word/2010/wordprocessingShape">
                    <wps:wsp>
                      <wps:cNvSpPr txBox="1">
                        <a:spLocks noChangeArrowheads="1"/>
                      </wps:cNvSpPr>
                      <wps:spPr bwMode="auto">
                        <a:xfrm>
                          <a:off x="0" y="0"/>
                          <a:ext cx="1064895" cy="374015"/>
                        </a:xfrm>
                        <a:prstGeom prst="rect">
                          <a:avLst/>
                        </a:prstGeom>
                        <a:solidFill>
                          <a:srgbClr val="000000"/>
                        </a:solidFill>
                        <a:ln w="9525">
                          <a:solidFill>
                            <a:srgbClr val="1F497D"/>
                          </a:solidFill>
                          <a:miter lim="800000"/>
                        </a:ln>
                        <a:effectLst/>
                      </wps:spPr>
                      <wps:txbx>
                        <w:txbxContent>
                          <w:p>
                            <w:pPr>
                              <w:spacing w:line="360" w:lineRule="exact"/>
                              <w:rPr>
                                <w:color w:val="FFFFFF"/>
                              </w:rPr>
                            </w:pPr>
                            <w:r>
                              <w:rPr>
                                <w:rFonts w:hint="eastAsia" w:ascii="微软雅黑" w:hAnsi="微软雅黑" w:eastAsia="微软雅黑" w:cs="微软雅黑"/>
                                <w:b/>
                                <w:bCs/>
                                <w:color w:val="FFFFFF"/>
                                <w:sz w:val="24"/>
                              </w:rPr>
                              <w:t>【课程大纲】</w:t>
                            </w:r>
                          </w:p>
                        </w:txbxContent>
                      </wps:txbx>
                      <wps:bodyPr rot="0" vert="horz" wrap="square" lIns="91440" tIns="45720" rIns="91440" bIns="45720" anchor="t" anchorCtr="0" upright="1">
                        <a:noAutofit/>
                      </wps:bodyPr>
                    </wps:wsp>
                  </a:graphicData>
                </a:graphic>
              </wp:anchor>
            </w:drawing>
          </mc:Choice>
          <mc:Fallback>
            <w:pict>
              <v:shape id="文本框 9" o:spid="_x0000_s1026" o:spt="202" type="#_x0000_t202" style="position:absolute;left:0pt;margin-left:8pt;margin-top:10.65pt;height:29.45pt;width:83.85pt;mso-wrap-distance-bottom:0pt;mso-wrap-distance-left:9pt;mso-wrap-distance-right:9pt;mso-wrap-distance-top:0pt;z-index:251661312;mso-width-relative:page;mso-height-relative:page;" fillcolor="#000000" filled="t" stroked="t" coordsize="21600,21600" o:gfxdata="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Tl7udYAAAAIAQAADwAAAAAAAAAB&#10;ACAAAAAiAAAAZHJzL2Rvd25yZXYueG1sUEsBAhQAFAAAAAgAh07iQEXrD6NLAgAAlQQAAA4AAAAA&#10;AAAAAQAgAAAAJQEAAGRycy9lMm9Eb2MueG1sUEsFBgAAAAAGAAYAWQEAAOIFAAAAAA==&#10;">
                <v:fill on="t" focussize="0,0"/>
                <v:stroke color="#1F497D" miterlimit="8"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【课程大纲】</w:t>
                      </w:r>
                    </w:p>
                  </w:txbxContent>
                </v:textbox>
                <w10:wrap type="square"/>
              </v:shape>
            </w:pict>
          </mc:Fallback>
        </mc:AlternateContent>
      </w:r>
    </w:p>
    <w:p>
      <w:pPr>
        <w:spacing w:line="440" w:lineRule="exact"/>
        <w:rPr>
          <w:rFonts w:ascii="微软雅黑" w:hAnsi="微软雅黑" w:eastAsia="微软雅黑" w:cs="微软雅黑"/>
          <w:b/>
          <w:color w:val="FF0000"/>
          <w:sz w:val="24"/>
        </w:rPr>
      </w:pPr>
    </w:p>
    <w:p>
      <w:pPr>
        <w:spacing w:line="480" w:lineRule="exact"/>
        <w:rPr>
          <w:rFonts w:ascii="微软雅黑" w:hAnsi="微软雅黑" w:eastAsia="微软雅黑" w:cs="微软雅黑"/>
          <w:b/>
          <w:color w:val="FF9900"/>
          <w:sz w:val="24"/>
        </w:rPr>
      </w:pPr>
      <w:r>
        <w:rPr>
          <w:rFonts w:hint="eastAsia" w:ascii="微软雅黑" w:hAnsi="微软雅黑" w:eastAsia="微软雅黑" w:cs="微软雅黑"/>
          <w:b/>
          <w:color w:val="FF0000"/>
          <w:sz w:val="24"/>
        </w:rPr>
        <w:t>第一部分：项目总角色定位与四大能力提升</w:t>
      </w:r>
    </w:p>
    <w:p>
      <w:pPr>
        <w:widowControl/>
        <w:shd w:val="clear" w:color="auto" w:fill="FFFFFF"/>
        <w:ind w:firstLine="480" w:firstLineChars="2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一、项目总角色定位</w:t>
      </w:r>
    </w:p>
    <w:p>
      <w:pPr>
        <w:pStyle w:val="13"/>
        <w:numPr>
          <w:ilvl w:val="0"/>
          <w:numId w:val="2"/>
        </w:numPr>
        <w:tabs>
          <w:tab w:val="center" w:pos="4153"/>
        </w:tabs>
        <w:spacing w:line="480" w:lineRule="auto"/>
        <w:ind w:firstLine="48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房产项目总概述与模型画像解析</w:t>
      </w:r>
    </w:p>
    <w:p>
      <w:pPr>
        <w:pStyle w:val="13"/>
        <w:numPr>
          <w:ilvl w:val="0"/>
          <w:numId w:val="2"/>
        </w:numPr>
        <w:tabs>
          <w:tab w:val="center" w:pos="4153"/>
        </w:tabs>
        <w:spacing w:line="480" w:lineRule="auto"/>
        <w:ind w:firstLine="48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项目总角色定位剖析：</w:t>
      </w:r>
    </w:p>
    <w:p>
      <w:pPr>
        <w:pStyle w:val="13"/>
        <w:numPr>
          <w:ilvl w:val="0"/>
          <w:numId w:val="3"/>
        </w:numPr>
        <w:spacing w:line="480" w:lineRule="auto"/>
        <w:ind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决策者—— 团队管理的核心</w:t>
      </w:r>
    </w:p>
    <w:p>
      <w:pPr>
        <w:pStyle w:val="13"/>
        <w:numPr>
          <w:ilvl w:val="0"/>
          <w:numId w:val="3"/>
        </w:numPr>
        <w:spacing w:line="480" w:lineRule="auto"/>
        <w:ind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协调者—— 团队沟通渠道</w:t>
      </w:r>
    </w:p>
    <w:p>
      <w:pPr>
        <w:pStyle w:val="13"/>
        <w:numPr>
          <w:ilvl w:val="0"/>
          <w:numId w:val="3"/>
        </w:numPr>
        <w:spacing w:line="480" w:lineRule="auto"/>
        <w:ind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销售员——</w:t>
      </w:r>
      <w:r>
        <w:rPr>
          <w:rFonts w:ascii="微软雅黑" w:hAnsi="微软雅黑" w:eastAsia="微软雅黑" w:cs="微软雅黑"/>
          <w:b/>
          <w:color w:val="333333"/>
          <w:kern w:val="0"/>
          <w:sz w:val="24"/>
          <w:shd w:val="clear" w:color="auto" w:fill="FFFFFF"/>
          <w:lang w:bidi="ar"/>
        </w:rPr>
        <w:t xml:space="preserve"> </w:t>
      </w:r>
      <w:r>
        <w:rPr>
          <w:rFonts w:hint="eastAsia" w:ascii="微软雅黑" w:hAnsi="微软雅黑" w:eastAsia="微软雅黑" w:cs="微软雅黑"/>
          <w:b/>
          <w:color w:val="333333"/>
          <w:kern w:val="0"/>
          <w:sz w:val="24"/>
          <w:shd w:val="clear" w:color="auto" w:fill="FFFFFF"/>
          <w:lang w:bidi="ar"/>
        </w:rPr>
        <w:t>项目销售主力</w:t>
      </w:r>
    </w:p>
    <w:p>
      <w:pPr>
        <w:pStyle w:val="13"/>
        <w:numPr>
          <w:ilvl w:val="0"/>
          <w:numId w:val="3"/>
        </w:numPr>
        <w:spacing w:line="480" w:lineRule="auto"/>
        <w:ind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教练员—— 专业指导、辅助和鼓励者</w:t>
      </w:r>
    </w:p>
    <w:p>
      <w:pPr>
        <w:pStyle w:val="13"/>
        <w:numPr>
          <w:ilvl w:val="0"/>
          <w:numId w:val="3"/>
        </w:numPr>
        <w:spacing w:line="480" w:lineRule="auto"/>
        <w:ind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操盘手 —— 项目成功与否的关键</w:t>
      </w:r>
    </w:p>
    <w:p>
      <w:pPr>
        <w:pStyle w:val="13"/>
        <w:numPr>
          <w:ilvl w:val="0"/>
          <w:numId w:val="3"/>
        </w:numPr>
        <w:spacing w:line="480" w:lineRule="auto"/>
        <w:ind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终极者 —— 项目开发经营责任者</w:t>
      </w:r>
    </w:p>
    <w:p>
      <w:pPr>
        <w:pStyle w:val="13"/>
        <w:widowControl/>
        <w:numPr>
          <w:ilvl w:val="0"/>
          <w:numId w:val="4"/>
        </w:numPr>
        <w:shd w:val="clear" w:color="auto" w:fill="FFFFFF"/>
        <w:ind w:left="993" w:hanging="513"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项目总的四大能力要求与提升</w:t>
      </w:r>
    </w:p>
    <w:p>
      <w:pPr>
        <w:pStyle w:val="13"/>
        <w:numPr>
          <w:ilvl w:val="0"/>
          <w:numId w:val="5"/>
        </w:numPr>
        <w:spacing w:line="480" w:lineRule="auto"/>
        <w:ind w:left="1134" w:hanging="283"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、统筹驾驭能力</w:t>
      </w:r>
    </w:p>
    <w:p>
      <w:pPr>
        <w:pStyle w:val="13"/>
        <w:numPr>
          <w:ilvl w:val="0"/>
          <w:numId w:val="6"/>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组织管理用好人</w:t>
      </w:r>
    </w:p>
    <w:p>
      <w:pPr>
        <w:pStyle w:val="13"/>
        <w:numPr>
          <w:ilvl w:val="0"/>
          <w:numId w:val="6"/>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计划运营统筹能力</w:t>
      </w:r>
    </w:p>
    <w:p>
      <w:pPr>
        <w:pStyle w:val="13"/>
        <w:numPr>
          <w:ilvl w:val="0"/>
          <w:numId w:val="5"/>
        </w:numPr>
        <w:spacing w:line="480" w:lineRule="auto"/>
        <w:ind w:left="1134" w:hanging="283"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专业管理能力</w:t>
      </w:r>
    </w:p>
    <w:p>
      <w:pPr>
        <w:pStyle w:val="13"/>
        <w:numPr>
          <w:ilvl w:val="0"/>
          <w:numId w:val="7"/>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宏观视野、市场把握能力</w:t>
      </w:r>
    </w:p>
    <w:p>
      <w:pPr>
        <w:pStyle w:val="13"/>
        <w:numPr>
          <w:ilvl w:val="0"/>
          <w:numId w:val="7"/>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项目开发全程管控能力</w:t>
      </w:r>
    </w:p>
    <w:p>
      <w:pPr>
        <w:pStyle w:val="13"/>
        <w:numPr>
          <w:ilvl w:val="0"/>
          <w:numId w:val="5"/>
        </w:numPr>
        <w:spacing w:line="480" w:lineRule="auto"/>
        <w:ind w:left="1134" w:hanging="283"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风险填坑能力</w:t>
      </w:r>
    </w:p>
    <w:p>
      <w:pPr>
        <w:pStyle w:val="13"/>
        <w:numPr>
          <w:ilvl w:val="0"/>
          <w:numId w:val="8"/>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投拓风险识别</w:t>
      </w:r>
    </w:p>
    <w:p>
      <w:pPr>
        <w:pStyle w:val="13"/>
        <w:numPr>
          <w:ilvl w:val="0"/>
          <w:numId w:val="8"/>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筹划阶段关键</w:t>
      </w:r>
    </w:p>
    <w:p>
      <w:pPr>
        <w:pStyle w:val="13"/>
        <w:numPr>
          <w:ilvl w:val="0"/>
          <w:numId w:val="8"/>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项目开展风险</w:t>
      </w:r>
    </w:p>
    <w:p>
      <w:pPr>
        <w:pStyle w:val="13"/>
        <w:numPr>
          <w:ilvl w:val="0"/>
          <w:numId w:val="8"/>
        </w:numPr>
        <w:spacing w:line="480" w:lineRule="auto"/>
        <w:ind w:left="1418" w:hanging="425" w:firstLineChars="0"/>
        <w:jc w:val="left"/>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竣工交付善后</w:t>
      </w:r>
    </w:p>
    <w:p>
      <w:pPr>
        <w:pStyle w:val="13"/>
        <w:numPr>
          <w:ilvl w:val="0"/>
          <w:numId w:val="5"/>
        </w:numPr>
        <w:spacing w:line="480" w:lineRule="auto"/>
        <w:ind w:left="1134" w:hanging="283"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目标绩效管理能力</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第二部分：项目开发全程要点与风险把控</w:t>
      </w:r>
    </w:p>
    <w:p>
      <w:pPr>
        <w:pStyle w:val="13"/>
        <w:widowControl/>
        <w:numPr>
          <w:ilvl w:val="0"/>
          <w:numId w:val="9"/>
        </w:numPr>
        <w:shd w:val="clear" w:color="auto" w:fill="FFFFFF"/>
        <w:ind w:left="993" w:hanging="56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w:t>
      </w:r>
      <w:r>
        <w:rPr>
          <w:rFonts w:ascii="微软雅黑" w:hAnsi="微软雅黑" w:eastAsia="微软雅黑" w:cs="Arial"/>
          <w:b/>
          <w:color w:val="000000"/>
          <w:kern w:val="0"/>
          <w:sz w:val="24"/>
        </w:rPr>
        <w:t>全程</w:t>
      </w:r>
      <w:r>
        <w:rPr>
          <w:rFonts w:hint="eastAsia" w:ascii="微软雅黑" w:hAnsi="微软雅黑" w:eastAsia="微软雅黑" w:cs="Arial"/>
          <w:b/>
          <w:color w:val="000000"/>
          <w:kern w:val="0"/>
          <w:sz w:val="24"/>
        </w:rPr>
        <w:t>开发概述</w:t>
      </w:r>
    </w:p>
    <w:p>
      <w:pPr>
        <w:pStyle w:val="13"/>
        <w:widowControl/>
        <w:numPr>
          <w:ilvl w:val="0"/>
          <w:numId w:val="10"/>
        </w:numPr>
        <w:shd w:val="clear" w:color="auto" w:fill="FFFFFF"/>
        <w:ind w:left="1418" w:hanging="425" w:firstLineChars="0"/>
        <w:jc w:val="left"/>
        <w:rPr>
          <w:rFonts w:ascii="微软雅黑" w:hAnsi="微软雅黑" w:eastAsia="微软雅黑" w:cs="Arial"/>
          <w:b/>
          <w:color w:val="000000"/>
          <w:kern w:val="0"/>
          <w:sz w:val="24"/>
        </w:rPr>
      </w:pPr>
      <w:r>
        <w:rPr>
          <w:rFonts w:ascii="微软雅黑" w:hAnsi="微软雅黑" w:eastAsia="微软雅黑" w:cs="Arial"/>
          <w:b/>
          <w:color w:val="000000"/>
          <w:kern w:val="0"/>
          <w:sz w:val="24"/>
        </w:rPr>
        <w:t>房地产</w:t>
      </w:r>
      <w:r>
        <w:rPr>
          <w:rFonts w:hint="eastAsia" w:ascii="微软雅黑" w:hAnsi="微软雅黑" w:eastAsia="微软雅黑" w:cs="Arial"/>
          <w:b/>
          <w:color w:val="000000"/>
          <w:kern w:val="0"/>
          <w:sz w:val="24"/>
        </w:rPr>
        <w:t>业及产品的意涵</w:t>
      </w:r>
    </w:p>
    <w:p>
      <w:pPr>
        <w:pStyle w:val="13"/>
        <w:widowControl/>
        <w:numPr>
          <w:ilvl w:val="0"/>
          <w:numId w:val="10"/>
        </w:numPr>
        <w:shd w:val="clear" w:color="auto" w:fill="FFFFFF"/>
        <w:ind w:left="1418" w:hanging="425"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房地产项目</w:t>
      </w:r>
      <w:r>
        <w:rPr>
          <w:rFonts w:ascii="微软雅黑" w:hAnsi="微软雅黑" w:eastAsia="微软雅黑" w:cs="Arial"/>
          <w:b/>
          <w:color w:val="000000"/>
          <w:kern w:val="0"/>
          <w:sz w:val="24"/>
        </w:rPr>
        <w:t>开发总流程</w:t>
      </w:r>
      <w:r>
        <w:rPr>
          <w:rFonts w:hint="eastAsia" w:ascii="微软雅黑" w:hAnsi="微软雅黑" w:eastAsia="微软雅黑" w:cs="Arial"/>
          <w:b/>
          <w:color w:val="000000"/>
          <w:kern w:val="0"/>
          <w:sz w:val="24"/>
        </w:rPr>
        <w:t>概述</w:t>
      </w:r>
    </w:p>
    <w:p>
      <w:pPr>
        <w:pStyle w:val="13"/>
        <w:widowControl/>
        <w:numPr>
          <w:ilvl w:val="0"/>
          <w:numId w:val="10"/>
        </w:numPr>
        <w:shd w:val="clear" w:color="auto" w:fill="FFFFFF"/>
        <w:ind w:left="1418" w:hanging="425"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w:t>
      </w:r>
      <w:r>
        <w:rPr>
          <w:rFonts w:ascii="微软雅黑" w:hAnsi="微软雅黑" w:eastAsia="微软雅黑" w:cs="Arial"/>
          <w:b/>
          <w:color w:val="000000"/>
          <w:kern w:val="0"/>
          <w:sz w:val="24"/>
        </w:rPr>
        <w:t>开发</w:t>
      </w:r>
      <w:r>
        <w:rPr>
          <w:rFonts w:hint="eastAsia" w:ascii="微软雅黑" w:hAnsi="微软雅黑" w:eastAsia="微软雅黑" w:cs="Arial"/>
          <w:b/>
          <w:color w:val="000000"/>
          <w:kern w:val="0"/>
          <w:sz w:val="24"/>
        </w:rPr>
        <w:t>成功的四大保障及</w:t>
      </w:r>
      <w:r>
        <w:rPr>
          <w:rFonts w:ascii="微软雅黑" w:hAnsi="微软雅黑" w:eastAsia="微软雅黑" w:cs="Arial"/>
          <w:b/>
          <w:color w:val="000000"/>
          <w:kern w:val="0"/>
          <w:sz w:val="24"/>
        </w:rPr>
        <w:t>内容</w:t>
      </w:r>
    </w:p>
    <w:p>
      <w:pPr>
        <w:pStyle w:val="13"/>
        <w:widowControl/>
        <w:numPr>
          <w:ilvl w:val="0"/>
          <w:numId w:val="10"/>
        </w:numPr>
        <w:shd w:val="clear" w:color="auto" w:fill="FFFFFF"/>
        <w:ind w:left="1418" w:hanging="425"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项目开发的要点、难点及盲点</w:t>
      </w:r>
    </w:p>
    <w:p>
      <w:pPr>
        <w:pStyle w:val="13"/>
        <w:widowControl/>
        <w:numPr>
          <w:ilvl w:val="0"/>
          <w:numId w:val="9"/>
        </w:numPr>
        <w:shd w:val="clear" w:color="auto" w:fill="FFFFFF"/>
        <w:ind w:left="993" w:hanging="56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项目开发决策体系</w:t>
      </w:r>
    </w:p>
    <w:p>
      <w:pPr>
        <w:pStyle w:val="13"/>
        <w:widowControl/>
        <w:numPr>
          <w:ilvl w:val="0"/>
          <w:numId w:val="11"/>
        </w:numPr>
        <w:shd w:val="clear" w:color="auto" w:fill="FFFFFF"/>
        <w:ind w:left="1418" w:hanging="42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项目前期策划定位</w:t>
      </w:r>
    </w:p>
    <w:p>
      <w:pPr>
        <w:tabs>
          <w:tab w:val="center" w:pos="4153"/>
        </w:tabs>
        <w:ind w:firstLine="1201" w:firstLineChars="500"/>
        <w:jc w:val="left"/>
        <w:rPr>
          <w:rFonts w:ascii="微软雅黑" w:hAnsi="微软雅黑" w:eastAsia="微软雅黑" w:cs="微软雅黑"/>
          <w:b/>
          <w:color w:val="000000"/>
          <w:sz w:val="24"/>
        </w:rPr>
      </w:pPr>
      <w:r>
        <w:rPr>
          <w:rFonts w:hint="eastAsia" w:ascii="微软雅黑" w:hAnsi="微软雅黑" w:eastAsia="微软雅黑" w:cs="Arial"/>
          <w:b/>
          <w:color w:val="000000"/>
          <w:kern w:val="0"/>
          <w:sz w:val="24"/>
        </w:rPr>
        <w:t xml:space="preserve">· </w:t>
      </w:r>
      <w:r>
        <w:rPr>
          <w:rFonts w:ascii="微软雅黑" w:hAnsi="微软雅黑" w:eastAsia="微软雅黑" w:cs="Arial"/>
          <w:b/>
          <w:color w:val="000000"/>
          <w:kern w:val="0"/>
          <w:sz w:val="24"/>
        </w:rPr>
        <w:t xml:space="preserve"> </w:t>
      </w:r>
      <w:r>
        <w:rPr>
          <w:rFonts w:hint="eastAsia" w:ascii="微软雅黑" w:hAnsi="微软雅黑" w:eastAsia="微软雅黑" w:cs="微软雅黑"/>
          <w:b/>
          <w:color w:val="000000"/>
          <w:sz w:val="24"/>
        </w:rPr>
        <w:t>市场调研及要点</w:t>
      </w:r>
    </w:p>
    <w:p>
      <w:pPr>
        <w:ind w:firstLine="1201" w:firstLineChars="500"/>
        <w:jc w:val="left"/>
        <w:rPr>
          <w:rFonts w:ascii="微软雅黑" w:hAnsi="微软雅黑" w:eastAsia="微软雅黑" w:cs="微软雅黑"/>
          <w:b/>
          <w:color w:val="000000"/>
          <w:sz w:val="24"/>
        </w:rPr>
      </w:pPr>
      <w:r>
        <w:rPr>
          <w:rFonts w:hint="eastAsia" w:ascii="微软雅黑" w:hAnsi="微软雅黑" w:eastAsia="微软雅黑" w:cs="Arial"/>
          <w:b/>
          <w:color w:val="000000"/>
          <w:kern w:val="0"/>
          <w:sz w:val="24"/>
        </w:rPr>
        <w:t xml:space="preserve">· </w:t>
      </w:r>
      <w:r>
        <w:rPr>
          <w:rFonts w:ascii="微软雅黑" w:hAnsi="微软雅黑" w:eastAsia="微软雅黑" w:cs="Arial"/>
          <w:b/>
          <w:color w:val="000000"/>
          <w:kern w:val="0"/>
          <w:sz w:val="24"/>
        </w:rPr>
        <w:t xml:space="preserve"> </w:t>
      </w:r>
      <w:r>
        <w:rPr>
          <w:rFonts w:hint="eastAsia" w:ascii="微软雅黑" w:hAnsi="微软雅黑" w:eastAsia="微软雅黑" w:cs="微软雅黑"/>
          <w:b/>
          <w:color w:val="000000"/>
          <w:sz w:val="24"/>
        </w:rPr>
        <w:t>项目策划与定位</w:t>
      </w:r>
    </w:p>
    <w:p>
      <w:pPr>
        <w:pStyle w:val="13"/>
        <w:widowControl/>
        <w:numPr>
          <w:ilvl w:val="0"/>
          <w:numId w:val="11"/>
        </w:numPr>
        <w:shd w:val="clear" w:color="auto" w:fill="FFFFFF"/>
        <w:ind w:left="1418" w:hanging="42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方案设计组织与管理</w:t>
      </w:r>
    </w:p>
    <w:p>
      <w:pPr>
        <w:pStyle w:val="13"/>
        <w:widowControl/>
        <w:numPr>
          <w:ilvl w:val="0"/>
          <w:numId w:val="11"/>
        </w:numPr>
        <w:shd w:val="clear" w:color="auto" w:fill="FFFFFF"/>
        <w:ind w:left="1418" w:hanging="42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方案成果评审、论证与决策</w:t>
      </w:r>
    </w:p>
    <w:p>
      <w:pPr>
        <w:ind w:firstLine="1201" w:firstLineChars="500"/>
        <w:jc w:val="left"/>
        <w:rPr>
          <w:rFonts w:ascii="微软雅黑" w:hAnsi="微软雅黑" w:eastAsia="微软雅黑" w:cs="微软雅黑"/>
          <w:b/>
          <w:color w:val="000000"/>
          <w:sz w:val="24"/>
        </w:rPr>
      </w:pPr>
      <w:r>
        <w:rPr>
          <w:rFonts w:hint="eastAsia" w:ascii="微软雅黑" w:hAnsi="微软雅黑" w:eastAsia="微软雅黑" w:cs="Arial"/>
          <w:b/>
          <w:color w:val="000000"/>
          <w:kern w:val="0"/>
          <w:sz w:val="24"/>
        </w:rPr>
        <w:t>·</w:t>
      </w:r>
      <w:r>
        <w:rPr>
          <w:rFonts w:hint="eastAsia" w:ascii="微软雅黑" w:hAnsi="微软雅黑" w:eastAsia="微软雅黑" w:cs="微软雅黑"/>
          <w:b/>
          <w:color w:val="000000"/>
          <w:sz w:val="24"/>
        </w:rPr>
        <w:t>“好方案”的具体内涵</w:t>
      </w:r>
    </w:p>
    <w:p>
      <w:pPr>
        <w:ind w:firstLine="1201" w:firstLineChars="500"/>
        <w:jc w:val="left"/>
        <w:rPr>
          <w:rFonts w:ascii="微软雅黑" w:hAnsi="微软雅黑" w:eastAsia="微软雅黑" w:cs="微软雅黑"/>
          <w:b/>
          <w:color w:val="000000"/>
          <w:sz w:val="24"/>
        </w:rPr>
      </w:pPr>
      <w:r>
        <w:rPr>
          <w:rFonts w:hint="eastAsia" w:ascii="微软雅黑" w:hAnsi="微软雅黑" w:eastAsia="微软雅黑" w:cs="Arial"/>
          <w:b/>
          <w:color w:val="000000"/>
          <w:kern w:val="0"/>
          <w:sz w:val="24"/>
        </w:rPr>
        <w:t xml:space="preserve">· </w:t>
      </w:r>
      <w:r>
        <w:rPr>
          <w:rFonts w:hint="eastAsia" w:ascii="微软雅黑" w:hAnsi="微软雅黑" w:eastAsia="微软雅黑" w:cs="微软雅黑"/>
          <w:b/>
          <w:color w:val="000000"/>
          <w:sz w:val="24"/>
        </w:rPr>
        <w:t>方案设计论证、评审及确定</w:t>
      </w:r>
    </w:p>
    <w:p>
      <w:pPr>
        <w:pStyle w:val="13"/>
        <w:widowControl/>
        <w:numPr>
          <w:ilvl w:val="0"/>
          <w:numId w:val="11"/>
        </w:numPr>
        <w:shd w:val="clear" w:color="auto" w:fill="FFFFFF"/>
        <w:ind w:left="1418" w:hanging="425"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方案与项目开发布局、风险控制的关联及要点</w:t>
      </w:r>
    </w:p>
    <w:p>
      <w:pPr>
        <w:pStyle w:val="13"/>
        <w:numPr>
          <w:ilvl w:val="0"/>
          <w:numId w:val="12"/>
        </w:numPr>
        <w:ind w:hanging="137" w:firstLineChars="0"/>
        <w:jc w:val="left"/>
        <w:rPr>
          <w:rFonts w:ascii="微软雅黑" w:hAnsi="微软雅黑" w:eastAsia="微软雅黑"/>
          <w:b/>
          <w:sz w:val="24"/>
          <w:szCs w:val="24"/>
        </w:rPr>
      </w:pPr>
      <w:r>
        <w:rPr>
          <w:rFonts w:hint="eastAsia" w:ascii="微软雅黑" w:hAnsi="微软雅黑" w:eastAsia="微软雅黑"/>
          <w:b/>
          <w:sz w:val="24"/>
          <w:szCs w:val="24"/>
        </w:rPr>
        <w:t>案例：项目规划方案实务案例解析</w:t>
      </w:r>
    </w:p>
    <w:p>
      <w:pPr>
        <w:pStyle w:val="13"/>
        <w:widowControl/>
        <w:numPr>
          <w:ilvl w:val="0"/>
          <w:numId w:val="9"/>
        </w:numPr>
        <w:shd w:val="clear" w:color="auto" w:fill="FFFFFF"/>
        <w:ind w:left="993" w:hanging="56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项目管控体系</w:t>
      </w:r>
    </w:p>
    <w:p>
      <w:pPr>
        <w:pStyle w:val="13"/>
        <w:numPr>
          <w:ilvl w:val="0"/>
          <w:numId w:val="13"/>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项目运营计划管控体系</w:t>
      </w:r>
    </w:p>
    <w:p>
      <w:pPr>
        <w:widowControl/>
        <w:shd w:val="clear" w:color="auto" w:fill="FFFFFF"/>
        <w:ind w:left="1699" w:leftChars="539" w:hanging="567" w:hangingChars="236"/>
        <w:jc w:val="left"/>
        <w:rPr>
          <w:rFonts w:ascii="微软雅黑" w:hAnsi="微软雅黑" w:eastAsia="微软雅黑" w:cs="Arial"/>
          <w:b/>
          <w:color w:val="000000"/>
          <w:kern w:val="0"/>
          <w:sz w:val="24"/>
        </w:rPr>
      </w:pPr>
      <w:r>
        <w:rPr>
          <w:rFonts w:ascii="微软雅黑" w:hAnsi="微软雅黑" w:eastAsia="微软雅黑" w:cs="Arial"/>
          <w:b/>
          <w:color w:val="000000"/>
          <w:kern w:val="0"/>
          <w:sz w:val="24"/>
        </w:rPr>
        <w:t>1、</w:t>
      </w:r>
      <w:r>
        <w:rPr>
          <w:rFonts w:hint="eastAsia" w:ascii="微软雅黑" w:hAnsi="微软雅黑" w:eastAsia="微软雅黑" w:cs="Arial"/>
          <w:b/>
          <w:color w:val="000000"/>
          <w:kern w:val="0"/>
          <w:sz w:val="24"/>
        </w:rPr>
        <w:t>项目开发全景计划</w:t>
      </w:r>
    </w:p>
    <w:p>
      <w:pPr>
        <w:widowControl/>
        <w:shd w:val="clear" w:color="auto" w:fill="FFFFFF"/>
        <w:ind w:left="1699" w:leftChars="539" w:hanging="567" w:hangingChars="236"/>
        <w:jc w:val="left"/>
        <w:rPr>
          <w:rFonts w:ascii="微软雅黑" w:hAnsi="微软雅黑" w:eastAsia="微软雅黑" w:cs="Arial"/>
          <w:b/>
          <w:color w:val="000000"/>
          <w:kern w:val="0"/>
          <w:sz w:val="24"/>
        </w:rPr>
      </w:pPr>
      <w:r>
        <w:rPr>
          <w:rFonts w:ascii="微软雅黑" w:hAnsi="微软雅黑" w:eastAsia="微软雅黑" w:cs="Arial"/>
          <w:b/>
          <w:color w:val="000000"/>
          <w:kern w:val="0"/>
          <w:sz w:val="24"/>
        </w:rPr>
        <w:t>2、</w:t>
      </w:r>
      <w:r>
        <w:rPr>
          <w:rFonts w:hint="eastAsia" w:ascii="微软雅黑" w:hAnsi="微软雅黑" w:eastAsia="微软雅黑" w:cs="Arial"/>
          <w:b/>
          <w:color w:val="000000"/>
          <w:kern w:val="0"/>
          <w:sz w:val="24"/>
        </w:rPr>
        <w:t>运营管理目标、计划分解及节点</w:t>
      </w:r>
    </w:p>
    <w:p>
      <w:pPr>
        <w:widowControl/>
        <w:shd w:val="clear" w:color="auto" w:fill="FFFFFF"/>
        <w:ind w:left="1699" w:leftChars="539" w:hanging="567" w:hangingChars="236"/>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3</w:t>
      </w:r>
      <w:r>
        <w:rPr>
          <w:rFonts w:ascii="微软雅黑" w:hAnsi="微软雅黑" w:eastAsia="微软雅黑" w:cs="Arial"/>
          <w:b/>
          <w:color w:val="000000"/>
          <w:kern w:val="0"/>
          <w:sz w:val="24"/>
        </w:rPr>
        <w:t>、</w:t>
      </w:r>
      <w:r>
        <w:rPr>
          <w:rFonts w:hint="eastAsia" w:ascii="微软雅黑" w:hAnsi="微软雅黑" w:eastAsia="微软雅黑" w:cs="Arial"/>
          <w:b/>
          <w:color w:val="000000"/>
          <w:kern w:val="0"/>
          <w:sz w:val="24"/>
        </w:rPr>
        <w:t>运营目标流程、成果与标准</w:t>
      </w:r>
    </w:p>
    <w:p>
      <w:pPr>
        <w:widowControl/>
        <w:shd w:val="clear" w:color="auto" w:fill="FFFFFF"/>
        <w:ind w:left="1699" w:leftChars="539" w:hanging="567" w:hangingChars="236"/>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4</w:t>
      </w:r>
      <w:r>
        <w:rPr>
          <w:rFonts w:ascii="微软雅黑" w:hAnsi="微软雅黑" w:eastAsia="微软雅黑" w:cs="Arial"/>
          <w:b/>
          <w:color w:val="000000"/>
          <w:kern w:val="0"/>
          <w:sz w:val="24"/>
        </w:rPr>
        <w:t>、</w:t>
      </w:r>
      <w:r>
        <w:rPr>
          <w:rFonts w:hint="eastAsia" w:ascii="微软雅黑" w:hAnsi="微软雅黑" w:eastAsia="微软雅黑" w:cs="Arial"/>
          <w:b/>
          <w:color w:val="000000"/>
          <w:kern w:val="0"/>
          <w:sz w:val="24"/>
        </w:rPr>
        <w:t>计划运营执行、评估、纠偏及绩效考核</w:t>
      </w:r>
    </w:p>
    <w:p>
      <w:pPr>
        <w:widowControl/>
        <w:shd w:val="clear" w:color="auto" w:fill="FFFFFF"/>
        <w:ind w:left="1699" w:leftChars="539" w:hanging="567" w:hangingChars="236"/>
        <w:jc w:val="left"/>
        <w:rPr>
          <w:rFonts w:ascii="微软雅黑" w:hAnsi="微软雅黑" w:eastAsia="微软雅黑" w:cs="Arial"/>
          <w:b/>
          <w:color w:val="000000" w:themeColor="text1"/>
          <w:kern w:val="0"/>
          <w:sz w:val="24"/>
          <w14:textFill>
            <w14:solidFill>
              <w14:schemeClr w14:val="tx1"/>
            </w14:solidFill>
          </w14:textFill>
        </w:rPr>
      </w:pPr>
      <w:r>
        <w:rPr>
          <w:rFonts w:hint="eastAsia" w:ascii="微软雅黑" w:hAnsi="微软雅黑" w:eastAsia="微软雅黑" w:cs="Arial"/>
          <w:b/>
          <w:color w:val="000000" w:themeColor="text1"/>
          <w:kern w:val="0"/>
          <w:sz w:val="24"/>
          <w14:textFill>
            <w14:solidFill>
              <w14:schemeClr w14:val="tx1"/>
            </w14:solidFill>
          </w14:textFill>
        </w:rPr>
        <w:t>5、运营管控要点及风险解析</w:t>
      </w:r>
    </w:p>
    <w:p>
      <w:pPr>
        <w:pStyle w:val="13"/>
        <w:numPr>
          <w:ilvl w:val="0"/>
          <w:numId w:val="12"/>
        </w:numPr>
        <w:ind w:hanging="137" w:firstLineChars="0"/>
        <w:jc w:val="left"/>
        <w:rPr>
          <w:rFonts w:ascii="微软雅黑" w:hAnsi="微软雅黑" w:eastAsia="微软雅黑"/>
          <w:b/>
          <w:sz w:val="24"/>
          <w:szCs w:val="24"/>
        </w:rPr>
      </w:pPr>
      <w:r>
        <w:rPr>
          <w:rFonts w:ascii="微软雅黑" w:hAnsi="微软雅黑" w:eastAsia="微软雅黑"/>
          <w:b/>
          <w:sz w:val="24"/>
          <w:szCs w:val="24"/>
        </w:rPr>
        <w:t>案例：标杆企业</w:t>
      </w:r>
      <w:r>
        <w:rPr>
          <w:rFonts w:hint="eastAsia" w:ascii="微软雅黑" w:hAnsi="微软雅黑" w:eastAsia="微软雅黑"/>
          <w:b/>
          <w:sz w:val="24"/>
          <w:szCs w:val="24"/>
        </w:rPr>
        <w:t>全景计划</w:t>
      </w:r>
      <w:r>
        <w:rPr>
          <w:rFonts w:ascii="微软雅黑" w:hAnsi="微软雅黑" w:eastAsia="微软雅黑"/>
          <w:b/>
          <w:sz w:val="24"/>
          <w:szCs w:val="24"/>
        </w:rPr>
        <w:t>主要内容案例分享</w:t>
      </w:r>
    </w:p>
    <w:p>
      <w:pPr>
        <w:pStyle w:val="13"/>
        <w:numPr>
          <w:ilvl w:val="0"/>
          <w:numId w:val="13"/>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项目成本管控体系</w:t>
      </w:r>
    </w:p>
    <w:p>
      <w:pPr>
        <w:widowControl/>
        <w:shd w:val="clear" w:color="auto" w:fill="FFFFFF"/>
        <w:ind w:left="210" w:leftChars="100" w:firstLine="924" w:firstLineChars="385"/>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1、项目综合成本测算分析</w:t>
      </w:r>
    </w:p>
    <w:p>
      <w:pPr>
        <w:widowControl/>
        <w:shd w:val="clear" w:color="auto" w:fill="FFFFFF"/>
        <w:ind w:left="210" w:leftChars="100" w:firstLine="924" w:firstLineChars="385"/>
        <w:jc w:val="left"/>
        <w:rPr>
          <w:rFonts w:ascii="微软雅黑" w:hAnsi="微软雅黑" w:eastAsia="微软雅黑" w:cs="Arial"/>
          <w:b/>
          <w:color w:val="000000" w:themeColor="text1"/>
          <w:kern w:val="0"/>
          <w:sz w:val="24"/>
          <w14:textFill>
            <w14:solidFill>
              <w14:schemeClr w14:val="tx1"/>
            </w14:solidFill>
          </w14:textFill>
        </w:rPr>
      </w:pPr>
      <w:r>
        <w:rPr>
          <w:rFonts w:hint="eastAsia" w:ascii="微软雅黑" w:hAnsi="微软雅黑" w:eastAsia="微软雅黑" w:cs="Arial"/>
          <w:b/>
          <w:color w:val="000000" w:themeColor="text1"/>
          <w:kern w:val="0"/>
          <w:sz w:val="24"/>
          <w14:textFill>
            <w14:solidFill>
              <w14:schemeClr w14:val="tx1"/>
            </w14:solidFill>
          </w14:textFill>
        </w:rPr>
        <w:t>2、项目成本管控要点及风险控制</w:t>
      </w:r>
    </w:p>
    <w:p>
      <w:pPr>
        <w:pStyle w:val="13"/>
        <w:numPr>
          <w:ilvl w:val="0"/>
          <w:numId w:val="13"/>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项目财务、税收体系</w:t>
      </w:r>
    </w:p>
    <w:p>
      <w:pPr>
        <w:widowControl/>
        <w:shd w:val="clear" w:color="auto" w:fill="FFFFFF"/>
        <w:ind w:left="210" w:leftChars="100" w:firstLine="924" w:firstLineChars="385"/>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1、项目财务资金管理目标要点</w:t>
      </w:r>
    </w:p>
    <w:p>
      <w:pPr>
        <w:widowControl/>
        <w:shd w:val="clear" w:color="auto" w:fill="FFFFFF"/>
        <w:ind w:left="210" w:leftChars="100" w:firstLine="924" w:firstLineChars="385"/>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2、项目资金组织与现金流平衡</w:t>
      </w:r>
    </w:p>
    <w:p>
      <w:pPr>
        <w:widowControl/>
        <w:shd w:val="clear" w:color="auto" w:fill="FFFFFF"/>
        <w:ind w:left="210" w:leftChars="100" w:firstLine="924" w:firstLineChars="385"/>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3、税收统筹安排</w:t>
      </w:r>
    </w:p>
    <w:p>
      <w:pPr>
        <w:widowControl/>
        <w:shd w:val="clear" w:color="auto" w:fill="FFFFFF"/>
        <w:ind w:left="210" w:leftChars="100" w:firstLine="924" w:firstLineChars="385"/>
        <w:jc w:val="left"/>
        <w:rPr>
          <w:rFonts w:ascii="微软雅黑" w:hAnsi="微软雅黑" w:eastAsia="微软雅黑" w:cs="Arial"/>
          <w:b/>
          <w:color w:val="000000" w:themeColor="text1"/>
          <w:kern w:val="0"/>
          <w:sz w:val="24"/>
          <w14:textFill>
            <w14:solidFill>
              <w14:schemeClr w14:val="tx1"/>
            </w14:solidFill>
          </w14:textFill>
        </w:rPr>
      </w:pPr>
      <w:r>
        <w:rPr>
          <w:rFonts w:hint="eastAsia" w:ascii="微软雅黑" w:hAnsi="微软雅黑" w:eastAsia="微软雅黑" w:cs="Arial"/>
          <w:b/>
          <w:color w:val="000000" w:themeColor="text1"/>
          <w:kern w:val="0"/>
          <w:sz w:val="24"/>
          <w14:textFill>
            <w14:solidFill>
              <w14:schemeClr w14:val="tx1"/>
            </w14:solidFill>
          </w14:textFill>
        </w:rPr>
        <w:t>4、财务、资金、税收统筹的风险控制</w:t>
      </w:r>
    </w:p>
    <w:p>
      <w:pPr>
        <w:pStyle w:val="13"/>
        <w:widowControl/>
        <w:numPr>
          <w:ilvl w:val="0"/>
          <w:numId w:val="9"/>
        </w:numPr>
        <w:shd w:val="clear" w:color="auto" w:fill="FFFFFF"/>
        <w:ind w:left="993" w:hanging="567"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项目执行体系</w:t>
      </w:r>
    </w:p>
    <w:p>
      <w:pPr>
        <w:pStyle w:val="13"/>
        <w:numPr>
          <w:ilvl w:val="0"/>
          <w:numId w:val="14"/>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营销管理</w:t>
      </w:r>
    </w:p>
    <w:p>
      <w:pPr>
        <w:widowControl/>
        <w:shd w:val="clear" w:color="auto" w:fill="FFFFFF"/>
        <w:ind w:firstLine="1133" w:firstLineChars="472"/>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1、项目策划与定位</w:t>
      </w:r>
    </w:p>
    <w:p>
      <w:pPr>
        <w:widowControl/>
        <w:shd w:val="clear" w:color="auto" w:fill="FFFFFF"/>
        <w:ind w:firstLine="1133" w:firstLineChars="472"/>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2、项目市场推广</w:t>
      </w:r>
    </w:p>
    <w:p>
      <w:pPr>
        <w:widowControl/>
        <w:shd w:val="clear" w:color="auto" w:fill="FFFFFF"/>
        <w:ind w:firstLine="1133" w:firstLineChars="472"/>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3、销售案场管理</w:t>
      </w:r>
    </w:p>
    <w:p>
      <w:pPr>
        <w:widowControl/>
        <w:shd w:val="clear" w:color="auto" w:fill="FFFFFF"/>
        <w:ind w:firstLine="1133" w:firstLineChars="472"/>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4、客服管理</w:t>
      </w:r>
    </w:p>
    <w:p>
      <w:pPr>
        <w:widowControl/>
        <w:shd w:val="clear" w:color="auto" w:fill="FFFFFF"/>
        <w:ind w:firstLine="1133" w:firstLineChars="472"/>
        <w:jc w:val="left"/>
        <w:rPr>
          <w:rFonts w:ascii="微软雅黑" w:hAnsi="微软雅黑" w:eastAsia="微软雅黑" w:cs="Arial"/>
          <w:b/>
          <w:color w:val="000000" w:themeColor="text1"/>
          <w:kern w:val="0"/>
          <w:sz w:val="24"/>
          <w14:textFill>
            <w14:solidFill>
              <w14:schemeClr w14:val="tx1"/>
            </w14:solidFill>
          </w14:textFill>
        </w:rPr>
      </w:pPr>
      <w:r>
        <w:rPr>
          <w:rFonts w:ascii="微软雅黑" w:hAnsi="微软雅黑" w:eastAsia="微软雅黑" w:cs="Arial"/>
          <w:b/>
          <w:color w:val="000000" w:themeColor="text1"/>
          <w:kern w:val="0"/>
          <w:sz w:val="24"/>
          <w14:textFill>
            <w14:solidFill>
              <w14:schemeClr w14:val="tx1"/>
            </w14:solidFill>
          </w14:textFill>
        </w:rPr>
        <w:t>5</w:t>
      </w:r>
      <w:r>
        <w:rPr>
          <w:rFonts w:hint="eastAsia" w:ascii="微软雅黑" w:hAnsi="微软雅黑" w:eastAsia="微软雅黑" w:cs="Arial"/>
          <w:b/>
          <w:color w:val="000000" w:themeColor="text1"/>
          <w:kern w:val="0"/>
          <w:sz w:val="24"/>
          <w14:textFill>
            <w14:solidFill>
              <w14:schemeClr w14:val="tx1"/>
            </w14:solidFill>
          </w14:textFill>
        </w:rPr>
        <w:t>、营销管控要点与风险控制解析</w:t>
      </w:r>
    </w:p>
    <w:p>
      <w:pPr>
        <w:pStyle w:val="13"/>
        <w:numPr>
          <w:ilvl w:val="0"/>
          <w:numId w:val="12"/>
        </w:numPr>
        <w:ind w:hanging="137" w:firstLineChars="0"/>
        <w:jc w:val="left"/>
        <w:rPr>
          <w:rFonts w:ascii="微软雅黑" w:hAnsi="微软雅黑" w:eastAsia="微软雅黑"/>
          <w:b/>
          <w:sz w:val="24"/>
          <w:szCs w:val="24"/>
        </w:rPr>
      </w:pPr>
      <w:r>
        <w:rPr>
          <w:rFonts w:hint="eastAsia" w:ascii="微软雅黑" w:hAnsi="微软雅黑" w:eastAsia="微软雅黑"/>
          <w:b/>
          <w:sz w:val="24"/>
          <w:szCs w:val="24"/>
        </w:rPr>
        <w:t>案例：标杆企业营销管理流程及各要点分享</w:t>
      </w:r>
      <w:r>
        <w:rPr>
          <w:rFonts w:ascii="微软雅黑" w:hAnsi="微软雅黑" w:eastAsia="微软雅黑"/>
          <w:b/>
          <w:sz w:val="24"/>
          <w:szCs w:val="24"/>
        </w:rPr>
        <w:t xml:space="preserve">  </w:t>
      </w:r>
    </w:p>
    <w:p>
      <w:pPr>
        <w:pStyle w:val="13"/>
        <w:numPr>
          <w:ilvl w:val="0"/>
          <w:numId w:val="14"/>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设计管理</w:t>
      </w:r>
    </w:p>
    <w:p>
      <w:pPr>
        <w:pStyle w:val="13"/>
        <w:widowControl/>
        <w:numPr>
          <w:ilvl w:val="0"/>
          <w:numId w:val="15"/>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规划方案设计</w:t>
      </w:r>
    </w:p>
    <w:p>
      <w:pPr>
        <w:pStyle w:val="13"/>
        <w:widowControl/>
        <w:numPr>
          <w:ilvl w:val="0"/>
          <w:numId w:val="15"/>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施工图设计要点</w:t>
      </w:r>
    </w:p>
    <w:p>
      <w:pPr>
        <w:pStyle w:val="13"/>
        <w:widowControl/>
        <w:numPr>
          <w:ilvl w:val="0"/>
          <w:numId w:val="15"/>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精装修设计</w:t>
      </w:r>
    </w:p>
    <w:p>
      <w:pPr>
        <w:pStyle w:val="13"/>
        <w:widowControl/>
        <w:numPr>
          <w:ilvl w:val="0"/>
          <w:numId w:val="15"/>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景观园林设计</w:t>
      </w:r>
    </w:p>
    <w:p>
      <w:pPr>
        <w:pStyle w:val="13"/>
        <w:widowControl/>
        <w:numPr>
          <w:ilvl w:val="0"/>
          <w:numId w:val="15"/>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各市政管网设计及综合</w:t>
      </w:r>
    </w:p>
    <w:p>
      <w:pPr>
        <w:pStyle w:val="13"/>
        <w:numPr>
          <w:ilvl w:val="0"/>
          <w:numId w:val="14"/>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项目报建报批</w:t>
      </w:r>
    </w:p>
    <w:p>
      <w:pPr>
        <w:pStyle w:val="13"/>
        <w:widowControl/>
        <w:numPr>
          <w:ilvl w:val="0"/>
          <w:numId w:val="16"/>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项目报建节点与成果</w:t>
      </w:r>
    </w:p>
    <w:p>
      <w:pPr>
        <w:pStyle w:val="13"/>
        <w:widowControl/>
        <w:numPr>
          <w:ilvl w:val="0"/>
          <w:numId w:val="16"/>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报建报批要点及管理</w:t>
      </w:r>
    </w:p>
    <w:p>
      <w:pPr>
        <w:pStyle w:val="13"/>
        <w:numPr>
          <w:ilvl w:val="0"/>
          <w:numId w:val="14"/>
        </w:numPr>
        <w:spacing w:line="480" w:lineRule="auto"/>
        <w:ind w:left="1843" w:hanging="850" w:firstLineChars="0"/>
        <w:rPr>
          <w:rFonts w:ascii="微软雅黑" w:hAnsi="微软雅黑" w:eastAsia="微软雅黑" w:cs="微软雅黑"/>
          <w:b/>
          <w:color w:val="333333"/>
          <w:kern w:val="0"/>
          <w:sz w:val="24"/>
          <w:shd w:val="clear" w:color="auto" w:fill="FFFFFF"/>
          <w:lang w:bidi="ar"/>
        </w:rPr>
      </w:pPr>
      <w:r>
        <w:rPr>
          <w:rFonts w:hint="eastAsia" w:ascii="微软雅黑" w:hAnsi="微软雅黑" w:eastAsia="微软雅黑" w:cs="微软雅黑"/>
          <w:b/>
          <w:color w:val="333333"/>
          <w:kern w:val="0"/>
          <w:sz w:val="24"/>
          <w:shd w:val="clear" w:color="auto" w:fill="FFFFFF"/>
          <w:lang w:bidi="ar"/>
        </w:rPr>
        <w:t>工程管理</w:t>
      </w:r>
    </w:p>
    <w:p>
      <w:pPr>
        <w:pStyle w:val="13"/>
        <w:widowControl/>
        <w:numPr>
          <w:ilvl w:val="0"/>
          <w:numId w:val="17"/>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工程施工准备</w:t>
      </w:r>
    </w:p>
    <w:p>
      <w:pPr>
        <w:widowControl/>
        <w:shd w:val="clear" w:color="auto" w:fill="FFFFFF"/>
        <w:ind w:left="360" w:firstLine="720" w:firstLineChars="3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（1）招采内容、流程及要点</w:t>
      </w:r>
    </w:p>
    <w:p>
      <w:pPr>
        <w:widowControl/>
        <w:shd w:val="clear" w:color="auto" w:fill="FFFFFF"/>
        <w:ind w:left="360" w:firstLine="720" w:firstLineChars="3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（2）施工现场策划与准备</w:t>
      </w:r>
    </w:p>
    <w:p>
      <w:pPr>
        <w:widowControl/>
        <w:shd w:val="clear" w:color="auto" w:fill="FFFFFF"/>
        <w:ind w:left="360" w:firstLine="720" w:firstLineChars="3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（3）开工前计划、制度、技术交底</w:t>
      </w:r>
    </w:p>
    <w:p>
      <w:pPr>
        <w:pStyle w:val="13"/>
        <w:widowControl/>
        <w:numPr>
          <w:ilvl w:val="0"/>
          <w:numId w:val="17"/>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工程现场管理</w:t>
      </w:r>
    </w:p>
    <w:p>
      <w:pPr>
        <w:widowControl/>
        <w:shd w:val="clear" w:color="auto" w:fill="FFFFFF"/>
        <w:ind w:left="360" w:firstLine="720" w:firstLineChars="3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（1）</w:t>
      </w:r>
      <w:r>
        <w:rPr>
          <w:rFonts w:ascii="微软雅黑" w:hAnsi="微软雅黑" w:eastAsia="微软雅黑" w:cs="Arial"/>
          <w:b/>
          <w:color w:val="000000"/>
          <w:kern w:val="0"/>
          <w:sz w:val="24"/>
        </w:rPr>
        <w:t>工程</w:t>
      </w:r>
      <w:r>
        <w:rPr>
          <w:rFonts w:hint="eastAsia" w:ascii="微软雅黑" w:hAnsi="微软雅黑" w:eastAsia="微软雅黑" w:cs="Arial"/>
          <w:b/>
          <w:color w:val="000000"/>
          <w:kern w:val="0"/>
          <w:sz w:val="24"/>
        </w:rPr>
        <w:t>进度</w:t>
      </w:r>
      <w:r>
        <w:rPr>
          <w:rFonts w:ascii="微软雅黑" w:hAnsi="微软雅黑" w:eastAsia="微软雅黑" w:cs="Arial"/>
          <w:b/>
          <w:color w:val="000000"/>
          <w:kern w:val="0"/>
          <w:sz w:val="24"/>
        </w:rPr>
        <w:t>计划管理</w:t>
      </w:r>
    </w:p>
    <w:p>
      <w:pPr>
        <w:widowControl/>
        <w:shd w:val="clear" w:color="auto" w:fill="FFFFFF"/>
        <w:ind w:left="360" w:firstLine="720" w:firstLineChars="3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（2）</w:t>
      </w:r>
      <w:r>
        <w:rPr>
          <w:rFonts w:ascii="微软雅黑" w:hAnsi="微软雅黑" w:eastAsia="微软雅黑" w:cs="Arial"/>
          <w:b/>
          <w:color w:val="000000"/>
          <w:kern w:val="0"/>
          <w:sz w:val="24"/>
        </w:rPr>
        <w:t>工程质量管理</w:t>
      </w:r>
    </w:p>
    <w:p>
      <w:pPr>
        <w:widowControl/>
        <w:shd w:val="clear" w:color="auto" w:fill="FFFFFF"/>
        <w:ind w:left="360" w:firstLine="720" w:firstLineChars="30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（3）工程安全、文明管理</w:t>
      </w:r>
    </w:p>
    <w:p>
      <w:pPr>
        <w:pStyle w:val="13"/>
        <w:numPr>
          <w:ilvl w:val="0"/>
          <w:numId w:val="14"/>
        </w:numPr>
        <w:spacing w:line="480" w:lineRule="auto"/>
        <w:ind w:left="1843" w:hanging="850" w:firstLineChars="0"/>
        <w:rPr>
          <w:rFonts w:ascii="微软雅黑" w:hAnsi="微软雅黑" w:eastAsia="微软雅黑" w:cs="Arial"/>
          <w:b/>
          <w:color w:val="000000" w:themeColor="text1"/>
          <w:kern w:val="0"/>
          <w:sz w:val="24"/>
          <w14:textFill>
            <w14:solidFill>
              <w14:schemeClr w14:val="tx1"/>
            </w14:solidFill>
          </w14:textFill>
        </w:rPr>
      </w:pPr>
      <w:r>
        <w:rPr>
          <w:rFonts w:hint="eastAsia" w:ascii="微软雅黑" w:hAnsi="微软雅黑" w:eastAsia="微软雅黑" w:cs="Arial"/>
          <w:b/>
          <w:color w:val="000000" w:themeColor="text1"/>
          <w:kern w:val="0"/>
          <w:sz w:val="24"/>
          <w14:textFill>
            <w14:solidFill>
              <w14:schemeClr w14:val="tx1"/>
            </w14:solidFill>
          </w14:textFill>
        </w:rPr>
        <w:t>客服管理</w:t>
      </w:r>
    </w:p>
    <w:p>
      <w:pPr>
        <w:pStyle w:val="13"/>
        <w:widowControl/>
        <w:numPr>
          <w:ilvl w:val="0"/>
          <w:numId w:val="18"/>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工地开放日</w:t>
      </w:r>
    </w:p>
    <w:p>
      <w:pPr>
        <w:pStyle w:val="13"/>
        <w:widowControl/>
        <w:numPr>
          <w:ilvl w:val="0"/>
          <w:numId w:val="18"/>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客户恳谈会</w:t>
      </w:r>
    </w:p>
    <w:p>
      <w:pPr>
        <w:pStyle w:val="13"/>
        <w:widowControl/>
        <w:numPr>
          <w:ilvl w:val="1"/>
          <w:numId w:val="19"/>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例题：质量交付风险预控示例</w:t>
      </w:r>
    </w:p>
    <w:p>
      <w:pPr>
        <w:pStyle w:val="13"/>
        <w:widowControl/>
        <w:numPr>
          <w:ilvl w:val="0"/>
          <w:numId w:val="18"/>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承接查验策划</w:t>
      </w:r>
    </w:p>
    <w:p>
      <w:pPr>
        <w:pStyle w:val="13"/>
        <w:widowControl/>
        <w:numPr>
          <w:ilvl w:val="0"/>
          <w:numId w:val="18"/>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交付风险预控</w:t>
      </w:r>
    </w:p>
    <w:p>
      <w:pPr>
        <w:pStyle w:val="13"/>
        <w:widowControl/>
        <w:numPr>
          <w:ilvl w:val="1"/>
          <w:numId w:val="19"/>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例题：客户交付风险预控案例分析</w:t>
      </w:r>
    </w:p>
    <w:p>
      <w:pPr>
        <w:pStyle w:val="13"/>
        <w:widowControl/>
        <w:numPr>
          <w:ilvl w:val="0"/>
          <w:numId w:val="18"/>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客服管控/交付维保和整改销项要点</w:t>
      </w:r>
    </w:p>
    <w:p>
      <w:pPr>
        <w:pStyle w:val="13"/>
        <w:widowControl/>
        <w:numPr>
          <w:ilvl w:val="1"/>
          <w:numId w:val="19"/>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例题：客服管控案例分析</w:t>
      </w:r>
    </w:p>
    <w:p>
      <w:pPr>
        <w:pStyle w:val="13"/>
        <w:widowControl/>
        <w:numPr>
          <w:ilvl w:val="0"/>
          <w:numId w:val="18"/>
        </w:numPr>
        <w:shd w:val="clear" w:color="auto" w:fill="FFFFFF"/>
        <w:ind w:left="1560" w:hanging="426" w:firstLineChars="0"/>
        <w:jc w:val="left"/>
        <w:rPr>
          <w:rFonts w:ascii="微软雅黑" w:hAnsi="微软雅黑" w:eastAsia="微软雅黑" w:cs="Arial"/>
          <w:b/>
          <w:color w:val="000000"/>
          <w:kern w:val="0"/>
          <w:sz w:val="24"/>
        </w:rPr>
      </w:pPr>
      <w:r>
        <w:rPr>
          <w:rFonts w:hint="eastAsia" w:ascii="微软雅黑" w:hAnsi="微软雅黑" w:eastAsia="微软雅黑" w:cs="Arial"/>
          <w:b/>
          <w:color w:val="000000"/>
          <w:kern w:val="0"/>
          <w:sz w:val="24"/>
        </w:rPr>
        <w:t>分户验收/完美交楼</w:t>
      </w:r>
    </w:p>
    <w:p>
      <w:pPr>
        <w:pStyle w:val="13"/>
        <w:numPr>
          <w:ilvl w:val="0"/>
          <w:numId w:val="14"/>
        </w:numPr>
        <w:spacing w:line="480" w:lineRule="auto"/>
        <w:ind w:left="1843" w:hanging="850" w:firstLineChars="0"/>
        <w:rPr>
          <w:rFonts w:ascii="微软雅黑" w:hAnsi="微软雅黑" w:eastAsia="微软雅黑" w:cs="Arial"/>
          <w:b/>
          <w:color w:val="000000" w:themeColor="text1"/>
          <w:kern w:val="0"/>
          <w:sz w:val="24"/>
          <w14:textFill>
            <w14:solidFill>
              <w14:schemeClr w14:val="tx1"/>
            </w14:solidFill>
          </w14:textFill>
        </w:rPr>
      </w:pPr>
      <w:r>
        <w:rPr>
          <w:rFonts w:hint="eastAsia" w:ascii="微软雅黑" w:hAnsi="微软雅黑" w:eastAsia="微软雅黑" w:cs="Arial"/>
          <w:b/>
          <w:color w:val="000000" w:themeColor="text1"/>
          <w:kern w:val="0"/>
          <w:sz w:val="24"/>
          <w14:textFill>
            <w14:solidFill>
              <w14:schemeClr w14:val="tx1"/>
            </w14:solidFill>
          </w14:textFill>
        </w:rPr>
        <w:t>项目交付与后评价管理</w:t>
      </w:r>
    </w:p>
    <w:p>
      <w:pPr>
        <w:widowControl/>
        <w:jc w:val="left"/>
        <w:rPr>
          <w:rFonts w:ascii="微软雅黑" w:hAnsi="微软雅黑" w:eastAsia="微软雅黑" w:cs="微软雅黑"/>
          <w:sz w:val="24"/>
          <w:szCs w:val="22"/>
        </w:rPr>
      </w:pPr>
      <w:r>
        <w:rPr>
          <w:rFonts w:ascii="微软雅黑" w:hAnsi="微软雅黑" w:eastAsia="微软雅黑" w:cs="微软雅黑"/>
          <w:sz w:val="24"/>
        </w:rPr>
        <w:br w:type="page"/>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b/>
          <w:color w:val="404040"/>
          <w:spacing w:val="10"/>
          <w:szCs w:val="21"/>
        </w:rPr>
        <w:drawing>
          <wp:inline distT="0" distB="0" distL="0" distR="0">
            <wp:extent cx="6200775" cy="3905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rPr>
        <w:drawing>
          <wp:inline distT="0" distB="0" distL="0" distR="0">
            <wp:extent cx="6172200" cy="409575"/>
            <wp:effectExtent l="0" t="0" r="0" b="9525"/>
            <wp:docPr id="24" name="图片 24"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职业背景"/>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2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rPr>
        <w:drawing>
          <wp:inline distT="0" distB="0" distL="0" distR="0">
            <wp:extent cx="6191250" cy="4095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2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rPr>
      </w:pPr>
      <w:r>
        <w:rPr>
          <w:rFonts w:ascii="微软雅黑" w:hAnsi="微软雅黑" w:eastAsia="微软雅黑" w:cs="宋体"/>
          <w:color w:val="000000"/>
          <w:spacing w:val="10"/>
          <w:szCs w:val="21"/>
        </w:rPr>
        <w:drawing>
          <wp:inline distT="0" distB="0" distL="0" distR="0">
            <wp:extent cx="61912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2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2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2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2381"/>
      <w:r>
        <w:rPr>
          <w:rFonts w:hint="eastAsia" w:ascii="微软雅黑" w:hAnsi="微软雅黑" w:eastAsia="微软雅黑" w:cs="微软雅黑"/>
          <w:color w:val="404040"/>
          <w:szCs w:val="21"/>
        </w:rPr>
        <w:t>工程精益管理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3" w:name="_Hlk118432986"/>
      <w:r>
        <w:rPr>
          <w:rFonts w:hint="eastAsia" w:ascii="微软雅黑" w:hAnsi="微软雅黑" w:eastAsia="微软雅黑" w:cs="微软雅黑"/>
          <w:color w:val="404040"/>
          <w:szCs w:val="21"/>
        </w:rPr>
        <w:t>项目总角色定位与项目管理能力</w:t>
      </w:r>
      <w:bookmarkEnd w:id="3"/>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2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22"/>
        </w:numPr>
        <w:spacing w:line="360" w:lineRule="auto"/>
        <w:ind w:left="284" w:hanging="284"/>
        <w:rPr>
          <w:rFonts w:hint="eastAsia"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《标杆房企项目总角色定位与全周期项目管理能力提升要点及实战案例》</w:t>
      </w:r>
      <w:r>
        <w:rPr>
          <w:rFonts w:hint="eastAsia" w:ascii="微软雅黑" w:hAnsi="微软雅黑" w:eastAsia="微软雅黑" w:cs="微软雅黑"/>
          <w:b/>
          <w:color w:val="404040"/>
          <w:szCs w:val="21"/>
          <w:highlight w:val="yellow"/>
        </w:rPr>
        <w:t>（近百家企业管理提升课程，提升员工项目总角色定位与全周期项目管理能力，把控项目目标</w:t>
      </w:r>
      <w:r>
        <w:rPr>
          <w:rFonts w:hint="eastAsia" w:ascii="微软雅黑" w:hAnsi="微软雅黑" w:eastAsia="微软雅黑" w:cs="微软雅黑"/>
          <w:bCs/>
          <w:color w:val="404040"/>
          <w:szCs w:val="21"/>
          <w:highlight w:val="yellow"/>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2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2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2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2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2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2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2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24"/>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2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7"/>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2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8"/>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2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2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4" w:name="_Hlk118436183"/>
      <w:r>
        <w:rPr>
          <w:rFonts w:hint="eastAsia" w:ascii="微软雅黑" w:hAnsi="微软雅黑" w:eastAsia="微软雅黑" w:cs="微软雅黑"/>
          <w:color w:val="404040"/>
          <w:szCs w:val="21"/>
        </w:rPr>
        <w:t>安全管理</w:t>
      </w:r>
      <w:bookmarkEnd w:id="4"/>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5"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5"/>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7736"/>
      <w:r>
        <w:rPr>
          <w:rFonts w:hint="eastAsia" w:ascii="微软雅黑" w:hAnsi="微软雅黑" w:eastAsia="微软雅黑" w:cs="微软雅黑"/>
          <w:color w:val="404040"/>
          <w:szCs w:val="21"/>
        </w:rPr>
        <w:t>保交付</w:t>
      </w:r>
      <w:bookmarkEnd w:id="6"/>
      <w:r>
        <w:rPr>
          <w:rFonts w:hint="eastAsia" w:ascii="微软雅黑" w:hAnsi="微软雅黑" w:eastAsia="微软雅黑" w:cs="微软雅黑"/>
          <w:color w:val="404040"/>
          <w:szCs w:val="21"/>
        </w:rPr>
        <w:t>保质量下的工</w:t>
      </w:r>
      <w:bookmarkStart w:id="7" w:name="_Hlk118437723"/>
      <w:r>
        <w:rPr>
          <w:rFonts w:hint="eastAsia" w:ascii="微软雅黑" w:hAnsi="微软雅黑" w:eastAsia="微软雅黑" w:cs="微软雅黑"/>
          <w:color w:val="404040"/>
          <w:szCs w:val="21"/>
        </w:rPr>
        <w:t>程穿插提效快速施工</w:t>
      </w:r>
      <w:bookmarkEnd w:id="7"/>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8" w:name="_Hlk118438008"/>
      <w:r>
        <w:rPr>
          <w:rFonts w:hint="eastAsia" w:ascii="微软雅黑" w:hAnsi="微软雅黑" w:eastAsia="微软雅黑" w:cs="微软雅黑"/>
          <w:color w:val="404040"/>
          <w:szCs w:val="21"/>
        </w:rPr>
        <w:t>地基基础施工工艺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9"/>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9" w:name="_Hlk118438098"/>
      <w:r>
        <w:rPr>
          <w:rFonts w:hint="eastAsia" w:ascii="微软雅黑" w:hAnsi="微软雅黑" w:eastAsia="微软雅黑" w:cs="微软雅黑"/>
          <w:color w:val="404040"/>
          <w:szCs w:val="21"/>
        </w:rPr>
        <w:t>装饰装修施工工艺</w:t>
      </w:r>
      <w:bookmarkEnd w:id="9"/>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0" w:name="_Hlk118438294"/>
      <w:r>
        <w:rPr>
          <w:rFonts w:hint="eastAsia" w:ascii="微软雅黑" w:hAnsi="微软雅黑" w:eastAsia="微软雅黑" w:cs="微软雅黑"/>
          <w:color w:val="404040"/>
          <w:szCs w:val="21"/>
        </w:rPr>
        <w:t>总承包</w:t>
      </w:r>
      <w:bookmarkEnd w:id="10"/>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A351E"/>
    <w:multiLevelType w:val="multilevel"/>
    <w:tmpl w:val="014A351E"/>
    <w:lvl w:ilvl="0" w:tentative="0">
      <w:start w:val="1"/>
      <w:numFmt w:val="decimal"/>
      <w:lvlText w:val="%1、"/>
      <w:lvlJc w:val="left"/>
      <w:pPr>
        <w:ind w:left="1800" w:hanging="720"/>
      </w:pPr>
      <w:rPr>
        <w:rFonts w:hint="eastAsia" w:ascii="微软雅黑" w:hAnsi="微软雅黑" w:eastAsia="微软雅黑" w:cs="微软雅黑"/>
      </w:rPr>
    </w:lvl>
    <w:lvl w:ilvl="1" w:tentative="0">
      <w:start w:val="1"/>
      <w:numFmt w:val="lowerLetter"/>
      <w:lvlText w:val="%2)"/>
      <w:lvlJc w:val="left"/>
      <w:pPr>
        <w:ind w:left="1920" w:hanging="420"/>
      </w:pPr>
    </w:lvl>
    <w:lvl w:ilvl="2" w:tentative="0">
      <w:start w:val="1"/>
      <w:numFmt w:val="lowerRoman"/>
      <w:lvlText w:val="%3."/>
      <w:lvlJc w:val="right"/>
      <w:pPr>
        <w:ind w:left="2340" w:hanging="420"/>
      </w:pPr>
    </w:lvl>
    <w:lvl w:ilvl="3" w:tentative="0">
      <w:start w:val="1"/>
      <w:numFmt w:val="decimal"/>
      <w:lvlText w:val="%4."/>
      <w:lvlJc w:val="left"/>
      <w:pPr>
        <w:ind w:left="2760" w:hanging="420"/>
      </w:p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1">
    <w:nsid w:val="06360893"/>
    <w:multiLevelType w:val="multilevel"/>
    <w:tmpl w:val="06360893"/>
    <w:lvl w:ilvl="0" w:tentative="0">
      <w:start w:val="1"/>
      <w:numFmt w:val="decimal"/>
      <w:lvlText w:val="%1、"/>
      <w:lvlJc w:val="left"/>
      <w:pPr>
        <w:ind w:left="1800" w:hanging="720"/>
      </w:pPr>
      <w:rPr>
        <w:rFonts w:hint="eastAsia" w:ascii="微软雅黑" w:hAnsi="微软雅黑" w:eastAsia="微软雅黑" w:cs="微软雅黑"/>
      </w:rPr>
    </w:lvl>
    <w:lvl w:ilvl="1" w:tentative="0">
      <w:start w:val="1"/>
      <w:numFmt w:val="bullet"/>
      <w:lvlText w:val=""/>
      <w:lvlJc w:val="left"/>
      <w:pPr>
        <w:ind w:left="1271" w:hanging="420"/>
      </w:pPr>
      <w:rPr>
        <w:rFonts w:hint="default" w:ascii="Wingdings" w:hAnsi="Wingdings"/>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B305AC7"/>
    <w:multiLevelType w:val="multilevel"/>
    <w:tmpl w:val="0B305AC7"/>
    <w:lvl w:ilvl="0" w:tentative="0">
      <w:start w:val="1"/>
      <w:numFmt w:val="decimal"/>
      <w:lvlText w:val="%1、"/>
      <w:lvlJc w:val="left"/>
      <w:pPr>
        <w:ind w:left="1200" w:hanging="720"/>
      </w:pPr>
      <w:rPr>
        <w:rFonts w:hint="eastAsia" w:ascii="微软雅黑" w:hAnsi="微软雅黑" w:eastAsia="微软雅黑" w:cs="微软雅黑"/>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10151B91"/>
    <w:multiLevelType w:val="multilevel"/>
    <w:tmpl w:val="10151B91"/>
    <w:lvl w:ilvl="0" w:tentative="0">
      <w:start w:val="1"/>
      <w:numFmt w:val="japaneseCounting"/>
      <w:lvlText w:val="（%1）"/>
      <w:lvlJc w:val="left"/>
      <w:pPr>
        <w:ind w:left="720" w:hanging="7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1227D2C"/>
    <w:multiLevelType w:val="multilevel"/>
    <w:tmpl w:val="11227D2C"/>
    <w:lvl w:ilvl="0" w:tentative="0">
      <w:start w:val="1"/>
      <w:numFmt w:val="decimal"/>
      <w:lvlText w:val="%1."/>
      <w:lvlJc w:val="left"/>
      <w:pPr>
        <w:ind w:left="986" w:hanging="420"/>
      </w:p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5">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18B75C6B"/>
    <w:multiLevelType w:val="multilevel"/>
    <w:tmpl w:val="18B75C6B"/>
    <w:lvl w:ilvl="0" w:tentative="0">
      <w:start w:val="1"/>
      <w:numFmt w:val="decimal"/>
      <w:lvlText w:val="%1、"/>
      <w:lvlJc w:val="left"/>
      <w:pPr>
        <w:ind w:left="1711" w:hanging="7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42A2223"/>
    <w:multiLevelType w:val="multilevel"/>
    <w:tmpl w:val="242A2223"/>
    <w:lvl w:ilvl="0" w:tentative="0">
      <w:start w:val="1"/>
      <w:numFmt w:val="decimal"/>
      <w:lvlText w:val="%1、"/>
      <w:lvlJc w:val="left"/>
      <w:pPr>
        <w:ind w:left="1711" w:hanging="720"/>
      </w:pPr>
      <w:rPr>
        <w:rFonts w:hint="eastAsia"/>
      </w:rPr>
    </w:lvl>
    <w:lvl w:ilvl="1" w:tentative="0">
      <w:start w:val="1"/>
      <w:numFmt w:val="lowerLetter"/>
      <w:lvlText w:val="%2)"/>
      <w:lvlJc w:val="left"/>
      <w:pPr>
        <w:ind w:left="1831" w:hanging="420"/>
      </w:pPr>
    </w:lvl>
    <w:lvl w:ilvl="2" w:tentative="0">
      <w:start w:val="1"/>
      <w:numFmt w:val="lowerRoman"/>
      <w:lvlText w:val="%3."/>
      <w:lvlJc w:val="right"/>
      <w:pPr>
        <w:ind w:left="2251" w:hanging="420"/>
      </w:pPr>
    </w:lvl>
    <w:lvl w:ilvl="3" w:tentative="0">
      <w:start w:val="1"/>
      <w:numFmt w:val="decimal"/>
      <w:lvlText w:val="%4."/>
      <w:lvlJc w:val="left"/>
      <w:pPr>
        <w:ind w:left="2671" w:hanging="420"/>
      </w:pPr>
    </w:lvl>
    <w:lvl w:ilvl="4" w:tentative="0">
      <w:start w:val="1"/>
      <w:numFmt w:val="lowerLetter"/>
      <w:lvlText w:val="%5)"/>
      <w:lvlJc w:val="left"/>
      <w:pPr>
        <w:ind w:left="3091" w:hanging="420"/>
      </w:pPr>
    </w:lvl>
    <w:lvl w:ilvl="5" w:tentative="0">
      <w:start w:val="1"/>
      <w:numFmt w:val="lowerRoman"/>
      <w:lvlText w:val="%6."/>
      <w:lvlJc w:val="right"/>
      <w:pPr>
        <w:ind w:left="3511" w:hanging="420"/>
      </w:pPr>
    </w:lvl>
    <w:lvl w:ilvl="6" w:tentative="0">
      <w:start w:val="1"/>
      <w:numFmt w:val="decimal"/>
      <w:lvlText w:val="%7."/>
      <w:lvlJc w:val="left"/>
      <w:pPr>
        <w:ind w:left="3931" w:hanging="420"/>
      </w:pPr>
    </w:lvl>
    <w:lvl w:ilvl="7" w:tentative="0">
      <w:start w:val="1"/>
      <w:numFmt w:val="lowerLetter"/>
      <w:lvlText w:val="%8)"/>
      <w:lvlJc w:val="left"/>
      <w:pPr>
        <w:ind w:left="4351" w:hanging="420"/>
      </w:pPr>
    </w:lvl>
    <w:lvl w:ilvl="8" w:tentative="0">
      <w:start w:val="1"/>
      <w:numFmt w:val="lowerRoman"/>
      <w:lvlText w:val="%9."/>
      <w:lvlJc w:val="right"/>
      <w:pPr>
        <w:ind w:left="4771" w:hanging="420"/>
      </w:pPr>
    </w:lvl>
  </w:abstractNum>
  <w:abstractNum w:abstractNumId="9">
    <w:nsid w:val="278D06D9"/>
    <w:multiLevelType w:val="multilevel"/>
    <w:tmpl w:val="278D06D9"/>
    <w:lvl w:ilvl="0" w:tentative="0">
      <w:start w:val="1"/>
      <w:numFmt w:val="decimal"/>
      <w:lvlText w:val="%1、"/>
      <w:lvlJc w:val="left"/>
      <w:pPr>
        <w:ind w:left="1200" w:hanging="720"/>
      </w:pPr>
      <w:rPr>
        <w:rFonts w:hint="eastAsia" w:ascii="微软雅黑" w:hAnsi="微软雅黑" w:eastAsia="微软雅黑" w:cs="微软雅黑"/>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398C7B7C"/>
    <w:multiLevelType w:val="multilevel"/>
    <w:tmpl w:val="398C7B7C"/>
    <w:lvl w:ilvl="0" w:tentative="0">
      <w:start w:val="1"/>
      <w:numFmt w:val="japaneseCounting"/>
      <w:lvlText w:val="（%1）"/>
      <w:lvlJc w:val="left"/>
      <w:pPr>
        <w:ind w:left="720" w:hanging="7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FC94C60"/>
    <w:multiLevelType w:val="multilevel"/>
    <w:tmpl w:val="3FC94C60"/>
    <w:lvl w:ilvl="0" w:tentative="0">
      <w:start w:val="1"/>
      <w:numFmt w:val="japaneseCounting"/>
      <w:lvlText w:val="（%1）"/>
      <w:lvlJc w:val="left"/>
      <w:pPr>
        <w:ind w:left="720" w:hanging="7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9BE3309"/>
    <w:multiLevelType w:val="multilevel"/>
    <w:tmpl w:val="49BE3309"/>
    <w:lvl w:ilvl="0" w:tentative="0">
      <w:start w:val="1"/>
      <w:numFmt w:val="bullet"/>
      <w:lvlText w:val=""/>
      <w:lvlJc w:val="left"/>
      <w:pPr>
        <w:ind w:left="1271" w:hanging="420"/>
      </w:pPr>
      <w:rPr>
        <w:rFonts w:hint="default" w:ascii="Wingdings" w:hAnsi="Wingdings"/>
      </w:rPr>
    </w:lvl>
    <w:lvl w:ilvl="1" w:tentative="0">
      <w:start w:val="1"/>
      <w:numFmt w:val="bullet"/>
      <w:lvlText w:val=""/>
      <w:lvlJc w:val="left"/>
      <w:pPr>
        <w:ind w:left="1691" w:hanging="420"/>
      </w:pPr>
      <w:rPr>
        <w:rFonts w:hint="default" w:ascii="Wingdings" w:hAnsi="Wingdings"/>
      </w:rPr>
    </w:lvl>
    <w:lvl w:ilvl="2" w:tentative="0">
      <w:start w:val="1"/>
      <w:numFmt w:val="bullet"/>
      <w:lvlText w:val=""/>
      <w:lvlJc w:val="left"/>
      <w:pPr>
        <w:ind w:left="2111" w:hanging="420"/>
      </w:pPr>
      <w:rPr>
        <w:rFonts w:hint="default" w:ascii="Wingdings" w:hAnsi="Wingdings"/>
      </w:rPr>
    </w:lvl>
    <w:lvl w:ilvl="3" w:tentative="0">
      <w:start w:val="1"/>
      <w:numFmt w:val="bullet"/>
      <w:lvlText w:val=""/>
      <w:lvlJc w:val="left"/>
      <w:pPr>
        <w:ind w:left="2531" w:hanging="420"/>
      </w:pPr>
      <w:rPr>
        <w:rFonts w:hint="default" w:ascii="Wingdings" w:hAnsi="Wingdings"/>
      </w:rPr>
    </w:lvl>
    <w:lvl w:ilvl="4" w:tentative="0">
      <w:start w:val="1"/>
      <w:numFmt w:val="bullet"/>
      <w:lvlText w:val=""/>
      <w:lvlJc w:val="left"/>
      <w:pPr>
        <w:ind w:left="2951" w:hanging="420"/>
      </w:pPr>
      <w:rPr>
        <w:rFonts w:hint="default" w:ascii="Wingdings" w:hAnsi="Wingdings"/>
      </w:rPr>
    </w:lvl>
    <w:lvl w:ilvl="5" w:tentative="0">
      <w:start w:val="1"/>
      <w:numFmt w:val="bullet"/>
      <w:lvlText w:val=""/>
      <w:lvlJc w:val="left"/>
      <w:pPr>
        <w:ind w:left="3371" w:hanging="420"/>
      </w:pPr>
      <w:rPr>
        <w:rFonts w:hint="default" w:ascii="Wingdings" w:hAnsi="Wingdings"/>
      </w:rPr>
    </w:lvl>
    <w:lvl w:ilvl="6" w:tentative="0">
      <w:start w:val="1"/>
      <w:numFmt w:val="bullet"/>
      <w:lvlText w:val=""/>
      <w:lvlJc w:val="left"/>
      <w:pPr>
        <w:ind w:left="3791" w:hanging="420"/>
      </w:pPr>
      <w:rPr>
        <w:rFonts w:hint="default" w:ascii="Wingdings" w:hAnsi="Wingdings"/>
      </w:rPr>
    </w:lvl>
    <w:lvl w:ilvl="7" w:tentative="0">
      <w:start w:val="1"/>
      <w:numFmt w:val="bullet"/>
      <w:lvlText w:val=""/>
      <w:lvlJc w:val="left"/>
      <w:pPr>
        <w:ind w:left="4211" w:hanging="420"/>
      </w:pPr>
      <w:rPr>
        <w:rFonts w:hint="default" w:ascii="Wingdings" w:hAnsi="Wingdings"/>
      </w:rPr>
    </w:lvl>
    <w:lvl w:ilvl="8" w:tentative="0">
      <w:start w:val="1"/>
      <w:numFmt w:val="bullet"/>
      <w:lvlText w:val=""/>
      <w:lvlJc w:val="left"/>
      <w:pPr>
        <w:ind w:left="4631" w:hanging="420"/>
      </w:pPr>
      <w:rPr>
        <w:rFonts w:hint="default" w:ascii="Wingdings" w:hAnsi="Wingdings"/>
      </w:rPr>
    </w:lvl>
  </w:abstractNum>
  <w:abstractNum w:abstractNumId="15">
    <w:nsid w:val="4ABE15B3"/>
    <w:multiLevelType w:val="multilevel"/>
    <w:tmpl w:val="4ABE15B3"/>
    <w:lvl w:ilvl="0" w:tentative="0">
      <w:start w:val="1"/>
      <w:numFmt w:val="decimal"/>
      <w:lvlText w:val="%1、"/>
      <w:lvlJc w:val="left"/>
      <w:pPr>
        <w:ind w:left="1200" w:hanging="720"/>
      </w:pPr>
      <w:rPr>
        <w:rFonts w:ascii="微软雅黑" w:hAnsi="微软雅黑" w:eastAsia="微软雅黑" w:cs="微软雅黑"/>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7">
    <w:nsid w:val="60FA1B8F"/>
    <w:multiLevelType w:val="multilevel"/>
    <w:tmpl w:val="60FA1B8F"/>
    <w:lvl w:ilvl="0" w:tentative="0">
      <w:start w:val="1"/>
      <w:numFmt w:val="decimal"/>
      <w:lvlText w:val="%1、"/>
      <w:lvlJc w:val="left"/>
      <w:pPr>
        <w:ind w:left="1800" w:hanging="720"/>
      </w:pPr>
      <w:rPr>
        <w:rFonts w:hint="eastAsia" w:ascii="微软雅黑" w:hAnsi="微软雅黑" w:eastAsia="微软雅黑" w:cs="微软雅黑"/>
      </w:rPr>
    </w:lvl>
    <w:lvl w:ilvl="1" w:tentative="0">
      <w:start w:val="1"/>
      <w:numFmt w:val="lowerLetter"/>
      <w:lvlText w:val="%2)"/>
      <w:lvlJc w:val="left"/>
      <w:pPr>
        <w:ind w:left="1920" w:hanging="420"/>
      </w:pPr>
    </w:lvl>
    <w:lvl w:ilvl="2" w:tentative="0">
      <w:start w:val="1"/>
      <w:numFmt w:val="lowerRoman"/>
      <w:lvlText w:val="%3."/>
      <w:lvlJc w:val="right"/>
      <w:pPr>
        <w:ind w:left="2340" w:hanging="420"/>
      </w:pPr>
    </w:lvl>
    <w:lvl w:ilvl="3" w:tentative="0">
      <w:start w:val="1"/>
      <w:numFmt w:val="decimal"/>
      <w:lvlText w:val="%4."/>
      <w:lvlJc w:val="left"/>
      <w:pPr>
        <w:ind w:left="2760" w:hanging="420"/>
      </w:p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18">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9">
    <w:nsid w:val="692D2FE8"/>
    <w:multiLevelType w:val="multilevel"/>
    <w:tmpl w:val="692D2FE8"/>
    <w:lvl w:ilvl="0" w:tentative="0">
      <w:start w:val="1"/>
      <w:numFmt w:val="decimal"/>
      <w:lvlText w:val="%1、"/>
      <w:lvlJc w:val="left"/>
      <w:pPr>
        <w:ind w:left="1800" w:hanging="720"/>
      </w:pPr>
      <w:rPr>
        <w:rFonts w:hint="eastAsia" w:ascii="微软雅黑" w:hAnsi="微软雅黑" w:eastAsia="微软雅黑" w:cs="微软雅黑"/>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1">
    <w:nsid w:val="6F830207"/>
    <w:multiLevelType w:val="singleLevel"/>
    <w:tmpl w:val="6F830207"/>
    <w:lvl w:ilvl="0" w:tentative="0">
      <w:start w:val="1"/>
      <w:numFmt w:val="decimal"/>
      <w:suff w:val="nothing"/>
      <w:lvlText w:val="%1、"/>
      <w:lvlJc w:val="left"/>
      <w:pPr>
        <w:ind w:left="240" w:firstLine="0"/>
      </w:pPr>
    </w:lvl>
  </w:abstractNum>
  <w:abstractNum w:abstractNumId="22">
    <w:nsid w:val="71AB6FEF"/>
    <w:multiLevelType w:val="multilevel"/>
    <w:tmpl w:val="71AB6FEF"/>
    <w:lvl w:ilvl="0" w:tentative="0">
      <w:start w:val="1"/>
      <w:numFmt w:val="decimal"/>
      <w:lvlText w:val="%1、"/>
      <w:lvlJc w:val="left"/>
      <w:pPr>
        <w:ind w:left="1800" w:hanging="720"/>
      </w:pPr>
      <w:rPr>
        <w:rFonts w:hint="eastAsia"/>
      </w:rPr>
    </w:lvl>
    <w:lvl w:ilvl="1" w:tentative="0">
      <w:start w:val="1"/>
      <w:numFmt w:val="lowerLetter"/>
      <w:lvlText w:val="%2)"/>
      <w:lvlJc w:val="left"/>
      <w:pPr>
        <w:ind w:left="1920" w:hanging="420"/>
      </w:pPr>
    </w:lvl>
    <w:lvl w:ilvl="2" w:tentative="0">
      <w:start w:val="1"/>
      <w:numFmt w:val="lowerRoman"/>
      <w:lvlText w:val="%3."/>
      <w:lvlJc w:val="right"/>
      <w:pPr>
        <w:ind w:left="2340" w:hanging="420"/>
      </w:pPr>
    </w:lvl>
    <w:lvl w:ilvl="3" w:tentative="0">
      <w:start w:val="1"/>
      <w:numFmt w:val="decimal"/>
      <w:lvlText w:val="%4."/>
      <w:lvlJc w:val="left"/>
      <w:pPr>
        <w:ind w:left="2760" w:hanging="420"/>
      </w:pPr>
    </w:lvl>
    <w:lvl w:ilvl="4" w:tentative="0">
      <w:start w:val="1"/>
      <w:numFmt w:val="lowerLetter"/>
      <w:lvlText w:val="%5)"/>
      <w:lvlJc w:val="left"/>
      <w:pPr>
        <w:ind w:left="3180" w:hanging="420"/>
      </w:pPr>
    </w:lvl>
    <w:lvl w:ilvl="5" w:tentative="0">
      <w:start w:val="1"/>
      <w:numFmt w:val="lowerRoman"/>
      <w:lvlText w:val="%6."/>
      <w:lvlJc w:val="right"/>
      <w:pPr>
        <w:ind w:left="3600" w:hanging="420"/>
      </w:pPr>
    </w:lvl>
    <w:lvl w:ilvl="6" w:tentative="0">
      <w:start w:val="1"/>
      <w:numFmt w:val="decimal"/>
      <w:lvlText w:val="%7."/>
      <w:lvlJc w:val="left"/>
      <w:pPr>
        <w:ind w:left="4020" w:hanging="420"/>
      </w:pPr>
    </w:lvl>
    <w:lvl w:ilvl="7" w:tentative="0">
      <w:start w:val="1"/>
      <w:numFmt w:val="lowerLetter"/>
      <w:lvlText w:val="%8)"/>
      <w:lvlJc w:val="left"/>
      <w:pPr>
        <w:ind w:left="4440" w:hanging="420"/>
      </w:pPr>
    </w:lvl>
    <w:lvl w:ilvl="8" w:tentative="0">
      <w:start w:val="1"/>
      <w:numFmt w:val="lowerRoman"/>
      <w:lvlText w:val="%9."/>
      <w:lvlJc w:val="right"/>
      <w:pPr>
        <w:ind w:left="4860" w:hanging="420"/>
      </w:pPr>
    </w:lvl>
  </w:abstractNum>
  <w:abstractNum w:abstractNumId="23">
    <w:nsid w:val="72F329A2"/>
    <w:multiLevelType w:val="multilevel"/>
    <w:tmpl w:val="72F329A2"/>
    <w:lvl w:ilvl="0" w:tentative="0">
      <w:start w:val="1"/>
      <w:numFmt w:val="chineseCountingThousand"/>
      <w:lvlText w:val="%1、"/>
      <w:lvlJc w:val="left"/>
      <w:pPr>
        <w:ind w:left="720" w:hanging="7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62D7621"/>
    <w:multiLevelType w:val="multilevel"/>
    <w:tmpl w:val="762D7621"/>
    <w:lvl w:ilvl="0" w:tentative="0">
      <w:start w:val="0"/>
      <w:numFmt w:val="bullet"/>
      <w:lvlText w:val="·"/>
      <w:lvlJc w:val="left"/>
      <w:pPr>
        <w:ind w:left="840" w:hanging="360"/>
      </w:pPr>
      <w:rPr>
        <w:rFonts w:hint="eastAsia" w:ascii="微软雅黑" w:hAnsi="微软雅黑" w:eastAsia="微软雅黑" w:cs="微软雅黑"/>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5">
    <w:nsid w:val="7B105B41"/>
    <w:multiLevelType w:val="multilevel"/>
    <w:tmpl w:val="7B105B41"/>
    <w:lvl w:ilvl="0" w:tentative="0">
      <w:start w:val="2"/>
      <w:numFmt w:val="japaneseCounting"/>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6">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21"/>
  </w:num>
  <w:num w:numId="3">
    <w:abstractNumId w:val="24"/>
  </w:num>
  <w:num w:numId="4">
    <w:abstractNumId w:val="25"/>
  </w:num>
  <w:num w:numId="5">
    <w:abstractNumId w:val="13"/>
  </w:num>
  <w:num w:numId="6">
    <w:abstractNumId w:val="15"/>
  </w:num>
  <w:num w:numId="7">
    <w:abstractNumId w:val="9"/>
  </w:num>
  <w:num w:numId="8">
    <w:abstractNumId w:val="2"/>
  </w:num>
  <w:num w:numId="9">
    <w:abstractNumId w:val="23"/>
  </w:num>
  <w:num w:numId="10">
    <w:abstractNumId w:val="8"/>
  </w:num>
  <w:num w:numId="11">
    <w:abstractNumId w:val="7"/>
  </w:num>
  <w:num w:numId="12">
    <w:abstractNumId w:val="14"/>
  </w:num>
  <w:num w:numId="13">
    <w:abstractNumId w:val="3"/>
  </w:num>
  <w:num w:numId="14">
    <w:abstractNumId w:val="12"/>
  </w:num>
  <w:num w:numId="15">
    <w:abstractNumId w:val="22"/>
  </w:num>
  <w:num w:numId="16">
    <w:abstractNumId w:val="17"/>
  </w:num>
  <w:num w:numId="17">
    <w:abstractNumId w:val="0"/>
  </w:num>
  <w:num w:numId="18">
    <w:abstractNumId w:val="19"/>
  </w:num>
  <w:num w:numId="19">
    <w:abstractNumId w:val="1"/>
  </w:num>
  <w:num w:numId="20">
    <w:abstractNumId w:val="10"/>
  </w:num>
  <w:num w:numId="21">
    <w:abstractNumId w:val="26"/>
  </w:num>
  <w:num w:numId="22">
    <w:abstractNumId w:val="5"/>
  </w:num>
  <w:num w:numId="23">
    <w:abstractNumId w:val="11"/>
  </w:num>
  <w:num w:numId="24">
    <w:abstractNumId w:val="20"/>
  </w:num>
  <w:num w:numId="25">
    <w:abstractNumId w:val="16"/>
  </w:num>
  <w:num w:numId="26">
    <w:abstractNumId w:val="6"/>
  </w:num>
  <w:num w:numId="27">
    <w:abstractNumId w:val="16"/>
  </w:num>
  <w:num w:numId="28">
    <w:abstractNumId w:val="6"/>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514"/>
    <w:rsid w:val="000011C8"/>
    <w:rsid w:val="00003AEB"/>
    <w:rsid w:val="00004364"/>
    <w:rsid w:val="00005707"/>
    <w:rsid w:val="000241CC"/>
    <w:rsid w:val="000259EC"/>
    <w:rsid w:val="00031238"/>
    <w:rsid w:val="00033BB9"/>
    <w:rsid w:val="00035E1E"/>
    <w:rsid w:val="0003696E"/>
    <w:rsid w:val="0005724E"/>
    <w:rsid w:val="00064A33"/>
    <w:rsid w:val="000650D2"/>
    <w:rsid w:val="000707E8"/>
    <w:rsid w:val="00075514"/>
    <w:rsid w:val="00096547"/>
    <w:rsid w:val="000B62F5"/>
    <w:rsid w:val="000B6C4B"/>
    <w:rsid w:val="000F0B10"/>
    <w:rsid w:val="001079F2"/>
    <w:rsid w:val="00110A76"/>
    <w:rsid w:val="00111518"/>
    <w:rsid w:val="00115F09"/>
    <w:rsid w:val="0013013A"/>
    <w:rsid w:val="001367AF"/>
    <w:rsid w:val="00137EE1"/>
    <w:rsid w:val="00143DE1"/>
    <w:rsid w:val="001462DA"/>
    <w:rsid w:val="00151DB4"/>
    <w:rsid w:val="00152FA0"/>
    <w:rsid w:val="001541CE"/>
    <w:rsid w:val="00161FB5"/>
    <w:rsid w:val="001651A9"/>
    <w:rsid w:val="00172BE7"/>
    <w:rsid w:val="00174BE0"/>
    <w:rsid w:val="001805E5"/>
    <w:rsid w:val="00180E07"/>
    <w:rsid w:val="00183A51"/>
    <w:rsid w:val="00184A03"/>
    <w:rsid w:val="001862F3"/>
    <w:rsid w:val="00191555"/>
    <w:rsid w:val="00191ACB"/>
    <w:rsid w:val="00192E73"/>
    <w:rsid w:val="00194B9A"/>
    <w:rsid w:val="001A0341"/>
    <w:rsid w:val="001A2181"/>
    <w:rsid w:val="001B2F4E"/>
    <w:rsid w:val="001B31C4"/>
    <w:rsid w:val="001C391F"/>
    <w:rsid w:val="001D5CEE"/>
    <w:rsid w:val="001D6FCA"/>
    <w:rsid w:val="001E0A5E"/>
    <w:rsid w:val="001E27B1"/>
    <w:rsid w:val="00206F96"/>
    <w:rsid w:val="002170AA"/>
    <w:rsid w:val="00222A87"/>
    <w:rsid w:val="00223571"/>
    <w:rsid w:val="002241A3"/>
    <w:rsid w:val="002267F1"/>
    <w:rsid w:val="00233C20"/>
    <w:rsid w:val="00234565"/>
    <w:rsid w:val="0024149A"/>
    <w:rsid w:val="002476EA"/>
    <w:rsid w:val="00251845"/>
    <w:rsid w:val="002555A4"/>
    <w:rsid w:val="00255A23"/>
    <w:rsid w:val="00257FF1"/>
    <w:rsid w:val="002708DF"/>
    <w:rsid w:val="00277115"/>
    <w:rsid w:val="00277D46"/>
    <w:rsid w:val="00286226"/>
    <w:rsid w:val="00286BC4"/>
    <w:rsid w:val="00286E78"/>
    <w:rsid w:val="00290A2A"/>
    <w:rsid w:val="0029176C"/>
    <w:rsid w:val="00291C6C"/>
    <w:rsid w:val="002A18C3"/>
    <w:rsid w:val="002B44ED"/>
    <w:rsid w:val="002D6EF4"/>
    <w:rsid w:val="002D78D8"/>
    <w:rsid w:val="002E5230"/>
    <w:rsid w:val="00301B92"/>
    <w:rsid w:val="003027B3"/>
    <w:rsid w:val="00315701"/>
    <w:rsid w:val="0031596C"/>
    <w:rsid w:val="003174B5"/>
    <w:rsid w:val="00321017"/>
    <w:rsid w:val="00343A78"/>
    <w:rsid w:val="0035040B"/>
    <w:rsid w:val="00350713"/>
    <w:rsid w:val="00357E48"/>
    <w:rsid w:val="0036349C"/>
    <w:rsid w:val="00363BA6"/>
    <w:rsid w:val="00372208"/>
    <w:rsid w:val="00381C47"/>
    <w:rsid w:val="003A7457"/>
    <w:rsid w:val="003B751B"/>
    <w:rsid w:val="003D09C1"/>
    <w:rsid w:val="003D2FED"/>
    <w:rsid w:val="003D310B"/>
    <w:rsid w:val="003D333C"/>
    <w:rsid w:val="003E619C"/>
    <w:rsid w:val="00401EC5"/>
    <w:rsid w:val="00404613"/>
    <w:rsid w:val="00407036"/>
    <w:rsid w:val="004170D6"/>
    <w:rsid w:val="00423F1E"/>
    <w:rsid w:val="00427BD4"/>
    <w:rsid w:val="00447E2F"/>
    <w:rsid w:val="0045167C"/>
    <w:rsid w:val="004528EA"/>
    <w:rsid w:val="00460E42"/>
    <w:rsid w:val="00472FE0"/>
    <w:rsid w:val="00475856"/>
    <w:rsid w:val="00475FE6"/>
    <w:rsid w:val="00483BF2"/>
    <w:rsid w:val="00486FFE"/>
    <w:rsid w:val="004A18A9"/>
    <w:rsid w:val="004A40B9"/>
    <w:rsid w:val="004A6684"/>
    <w:rsid w:val="004B4D36"/>
    <w:rsid w:val="004C7803"/>
    <w:rsid w:val="004D67EF"/>
    <w:rsid w:val="004D6D36"/>
    <w:rsid w:val="004E1C26"/>
    <w:rsid w:val="004F7F69"/>
    <w:rsid w:val="00517AE3"/>
    <w:rsid w:val="005231BC"/>
    <w:rsid w:val="00531E46"/>
    <w:rsid w:val="00537A13"/>
    <w:rsid w:val="00541723"/>
    <w:rsid w:val="00561494"/>
    <w:rsid w:val="00562444"/>
    <w:rsid w:val="00572423"/>
    <w:rsid w:val="00575428"/>
    <w:rsid w:val="0058697F"/>
    <w:rsid w:val="00596E95"/>
    <w:rsid w:val="005A0CDB"/>
    <w:rsid w:val="005A7695"/>
    <w:rsid w:val="005B0337"/>
    <w:rsid w:val="005B232A"/>
    <w:rsid w:val="005C379A"/>
    <w:rsid w:val="005C4760"/>
    <w:rsid w:val="005C6132"/>
    <w:rsid w:val="005E4F2D"/>
    <w:rsid w:val="005F6060"/>
    <w:rsid w:val="005F657F"/>
    <w:rsid w:val="005F73A6"/>
    <w:rsid w:val="006051A0"/>
    <w:rsid w:val="00614386"/>
    <w:rsid w:val="00627B61"/>
    <w:rsid w:val="00633212"/>
    <w:rsid w:val="00633807"/>
    <w:rsid w:val="006376F4"/>
    <w:rsid w:val="0064561C"/>
    <w:rsid w:val="006533D5"/>
    <w:rsid w:val="006624BA"/>
    <w:rsid w:val="00672F1F"/>
    <w:rsid w:val="0067469A"/>
    <w:rsid w:val="00687D03"/>
    <w:rsid w:val="006A1E5E"/>
    <w:rsid w:val="006A1F93"/>
    <w:rsid w:val="006A4010"/>
    <w:rsid w:val="006A57F0"/>
    <w:rsid w:val="006C14F8"/>
    <w:rsid w:val="006C5E5E"/>
    <w:rsid w:val="006D2DEE"/>
    <w:rsid w:val="006D3DEF"/>
    <w:rsid w:val="006D5BF8"/>
    <w:rsid w:val="006F37E6"/>
    <w:rsid w:val="00700E73"/>
    <w:rsid w:val="00702C3E"/>
    <w:rsid w:val="007110CD"/>
    <w:rsid w:val="007248A9"/>
    <w:rsid w:val="007348CC"/>
    <w:rsid w:val="007357AC"/>
    <w:rsid w:val="00754E10"/>
    <w:rsid w:val="00760506"/>
    <w:rsid w:val="00760C93"/>
    <w:rsid w:val="007726F3"/>
    <w:rsid w:val="00780F4D"/>
    <w:rsid w:val="00786B5C"/>
    <w:rsid w:val="007B03E7"/>
    <w:rsid w:val="007C51A3"/>
    <w:rsid w:val="007D2F44"/>
    <w:rsid w:val="007D6748"/>
    <w:rsid w:val="007D67FE"/>
    <w:rsid w:val="007F617F"/>
    <w:rsid w:val="00802A72"/>
    <w:rsid w:val="00802AB8"/>
    <w:rsid w:val="008037AC"/>
    <w:rsid w:val="00804756"/>
    <w:rsid w:val="008072E6"/>
    <w:rsid w:val="00823A84"/>
    <w:rsid w:val="00827A27"/>
    <w:rsid w:val="00843E62"/>
    <w:rsid w:val="00844259"/>
    <w:rsid w:val="00851D8D"/>
    <w:rsid w:val="008736FB"/>
    <w:rsid w:val="008813E4"/>
    <w:rsid w:val="00884892"/>
    <w:rsid w:val="00885472"/>
    <w:rsid w:val="008952AF"/>
    <w:rsid w:val="00896833"/>
    <w:rsid w:val="008C154B"/>
    <w:rsid w:val="008C47ED"/>
    <w:rsid w:val="008C6164"/>
    <w:rsid w:val="008D3093"/>
    <w:rsid w:val="008D4D0E"/>
    <w:rsid w:val="008E5B7F"/>
    <w:rsid w:val="009031C7"/>
    <w:rsid w:val="009103D9"/>
    <w:rsid w:val="00922853"/>
    <w:rsid w:val="00932FDE"/>
    <w:rsid w:val="00947DA0"/>
    <w:rsid w:val="00955050"/>
    <w:rsid w:val="0097034A"/>
    <w:rsid w:val="0098470E"/>
    <w:rsid w:val="00994E8B"/>
    <w:rsid w:val="00996110"/>
    <w:rsid w:val="009A0345"/>
    <w:rsid w:val="009A52FC"/>
    <w:rsid w:val="009A6653"/>
    <w:rsid w:val="009B121D"/>
    <w:rsid w:val="009B531D"/>
    <w:rsid w:val="009C0232"/>
    <w:rsid w:val="009C09FF"/>
    <w:rsid w:val="009D6EBB"/>
    <w:rsid w:val="009D71CC"/>
    <w:rsid w:val="009E1BC3"/>
    <w:rsid w:val="009E7AED"/>
    <w:rsid w:val="009F5577"/>
    <w:rsid w:val="00A02680"/>
    <w:rsid w:val="00A06D1A"/>
    <w:rsid w:val="00A213DD"/>
    <w:rsid w:val="00A236B2"/>
    <w:rsid w:val="00A24EF5"/>
    <w:rsid w:val="00A36417"/>
    <w:rsid w:val="00A37120"/>
    <w:rsid w:val="00A43312"/>
    <w:rsid w:val="00A511DF"/>
    <w:rsid w:val="00A522F0"/>
    <w:rsid w:val="00A54B56"/>
    <w:rsid w:val="00A60F85"/>
    <w:rsid w:val="00A710B4"/>
    <w:rsid w:val="00A76C3F"/>
    <w:rsid w:val="00A80D66"/>
    <w:rsid w:val="00A844F0"/>
    <w:rsid w:val="00A86084"/>
    <w:rsid w:val="00A8706F"/>
    <w:rsid w:val="00A90E05"/>
    <w:rsid w:val="00A95909"/>
    <w:rsid w:val="00AA2CA7"/>
    <w:rsid w:val="00AA6685"/>
    <w:rsid w:val="00AC4657"/>
    <w:rsid w:val="00AC5E27"/>
    <w:rsid w:val="00AE01BD"/>
    <w:rsid w:val="00AE459D"/>
    <w:rsid w:val="00AF68BE"/>
    <w:rsid w:val="00B0365F"/>
    <w:rsid w:val="00B11EF2"/>
    <w:rsid w:val="00B13107"/>
    <w:rsid w:val="00B24901"/>
    <w:rsid w:val="00B35D64"/>
    <w:rsid w:val="00B37820"/>
    <w:rsid w:val="00B56CA9"/>
    <w:rsid w:val="00B6298B"/>
    <w:rsid w:val="00B65FDE"/>
    <w:rsid w:val="00B76BE6"/>
    <w:rsid w:val="00B92C0A"/>
    <w:rsid w:val="00B94A69"/>
    <w:rsid w:val="00B95768"/>
    <w:rsid w:val="00BA370E"/>
    <w:rsid w:val="00BA59C0"/>
    <w:rsid w:val="00BA6FE6"/>
    <w:rsid w:val="00BB08D1"/>
    <w:rsid w:val="00BD5FEE"/>
    <w:rsid w:val="00BF4D76"/>
    <w:rsid w:val="00BF7C13"/>
    <w:rsid w:val="00C00C29"/>
    <w:rsid w:val="00C064AA"/>
    <w:rsid w:val="00C121B0"/>
    <w:rsid w:val="00C127A2"/>
    <w:rsid w:val="00C315AB"/>
    <w:rsid w:val="00C4273D"/>
    <w:rsid w:val="00C43A70"/>
    <w:rsid w:val="00C43ABA"/>
    <w:rsid w:val="00C44ECE"/>
    <w:rsid w:val="00C46AD3"/>
    <w:rsid w:val="00C545F6"/>
    <w:rsid w:val="00C62174"/>
    <w:rsid w:val="00C675A5"/>
    <w:rsid w:val="00C92DE5"/>
    <w:rsid w:val="00C9336B"/>
    <w:rsid w:val="00CB33FC"/>
    <w:rsid w:val="00CC40F7"/>
    <w:rsid w:val="00CD25C1"/>
    <w:rsid w:val="00CD6F5E"/>
    <w:rsid w:val="00CE0E43"/>
    <w:rsid w:val="00CE60D4"/>
    <w:rsid w:val="00CF24E5"/>
    <w:rsid w:val="00D02EAD"/>
    <w:rsid w:val="00D216FD"/>
    <w:rsid w:val="00D225D1"/>
    <w:rsid w:val="00D235CA"/>
    <w:rsid w:val="00D275E1"/>
    <w:rsid w:val="00D27984"/>
    <w:rsid w:val="00D362A2"/>
    <w:rsid w:val="00D41F18"/>
    <w:rsid w:val="00D47520"/>
    <w:rsid w:val="00D6461A"/>
    <w:rsid w:val="00D64B48"/>
    <w:rsid w:val="00D80B19"/>
    <w:rsid w:val="00D8566E"/>
    <w:rsid w:val="00DA30DC"/>
    <w:rsid w:val="00DA56A6"/>
    <w:rsid w:val="00DC14E5"/>
    <w:rsid w:val="00DD6286"/>
    <w:rsid w:val="00DE3153"/>
    <w:rsid w:val="00DE4E2D"/>
    <w:rsid w:val="00DF01C0"/>
    <w:rsid w:val="00DF631C"/>
    <w:rsid w:val="00E1650C"/>
    <w:rsid w:val="00E20990"/>
    <w:rsid w:val="00E330A2"/>
    <w:rsid w:val="00E37D20"/>
    <w:rsid w:val="00E44D73"/>
    <w:rsid w:val="00E52A37"/>
    <w:rsid w:val="00E52BD1"/>
    <w:rsid w:val="00E56420"/>
    <w:rsid w:val="00E677AD"/>
    <w:rsid w:val="00E943B1"/>
    <w:rsid w:val="00E96F39"/>
    <w:rsid w:val="00EA3A23"/>
    <w:rsid w:val="00EB1E42"/>
    <w:rsid w:val="00ED399B"/>
    <w:rsid w:val="00EE02BD"/>
    <w:rsid w:val="00EE49F4"/>
    <w:rsid w:val="00EF146C"/>
    <w:rsid w:val="00F066AF"/>
    <w:rsid w:val="00F21560"/>
    <w:rsid w:val="00F24B7A"/>
    <w:rsid w:val="00F327BC"/>
    <w:rsid w:val="00F41C3F"/>
    <w:rsid w:val="00F43EB0"/>
    <w:rsid w:val="00F47182"/>
    <w:rsid w:val="00F67EB6"/>
    <w:rsid w:val="00F7053B"/>
    <w:rsid w:val="00F743AD"/>
    <w:rsid w:val="00F92274"/>
    <w:rsid w:val="00F934E6"/>
    <w:rsid w:val="00F93A15"/>
    <w:rsid w:val="00F9649C"/>
    <w:rsid w:val="00FA66E7"/>
    <w:rsid w:val="00FA7428"/>
    <w:rsid w:val="00FB5406"/>
    <w:rsid w:val="00FD1A2F"/>
    <w:rsid w:val="00FE2CC9"/>
    <w:rsid w:val="00FE7C18"/>
    <w:rsid w:val="00FF0B4D"/>
    <w:rsid w:val="00FF0C2C"/>
    <w:rsid w:val="062250B0"/>
    <w:rsid w:val="077310CE"/>
    <w:rsid w:val="08026160"/>
    <w:rsid w:val="0A9F13F9"/>
    <w:rsid w:val="0F0224E9"/>
    <w:rsid w:val="10174529"/>
    <w:rsid w:val="12134AFE"/>
    <w:rsid w:val="12C27CAC"/>
    <w:rsid w:val="13CA01C9"/>
    <w:rsid w:val="173D79C7"/>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字符"/>
    <w:link w:val="4"/>
    <w:qFormat/>
    <w:uiPriority w:val="0"/>
    <w:rPr>
      <w:kern w:val="2"/>
      <w:sz w:val="18"/>
      <w:szCs w:val="18"/>
    </w:rPr>
  </w:style>
  <w:style w:type="character" w:customStyle="1" w:styleId="11">
    <w:name w:val="页脚 字符"/>
    <w:link w:val="3"/>
    <w:qFormat/>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szCs w:val="22"/>
    </w:rPr>
  </w:style>
  <w:style w:type="paragraph" w:customStyle="1" w:styleId="14">
    <w:name w:val="1"/>
    <w:basedOn w:val="1"/>
    <w:next w:val="13"/>
    <w:qFormat/>
    <w:uiPriority w:val="34"/>
    <w:pPr>
      <w:ind w:firstLine="420" w:firstLineChars="200"/>
    </w:pPr>
    <w:rPr>
      <w:rFonts w:ascii="等线" w:hAnsi="等线" w:eastAsia="等线"/>
      <w:szCs w:val="22"/>
    </w:rPr>
  </w:style>
  <w:style w:type="character" w:customStyle="1" w:styleId="15">
    <w:name w:val="fontstyle01"/>
    <w:basedOn w:val="8"/>
    <w:qFormat/>
    <w:uiPriority w:val="0"/>
    <w:rPr>
      <w:rFonts w:hint="eastAsia" w:ascii="华文中宋" w:hAnsi="华文中宋" w:eastAsia="华文中宋"/>
      <w:color w:val="000000"/>
      <w:sz w:val="40"/>
      <w:szCs w:val="4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4853</Words>
  <Characters>4871</Characters>
  <Lines>36</Lines>
  <Paragraphs>10</Paragraphs>
  <TotalTime>112</TotalTime>
  <ScaleCrop>false</ScaleCrop>
  <LinksUpToDate>false</LinksUpToDate>
  <CharactersWithSpaces>4914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2022-07-15T08:46:00Z</dcterms:created>
  <dc:creator>微软中国</dc:creator>
  <cp:lastModifiedBy>蓉儿</cp:lastModifiedBy>
  <dcterms:modified xsi:type="dcterms:W3CDTF">2023-01-04T08:04:38Z</dcterms:modified>
  <dc:title>在当前房地产行业中，设计管理一直是各地产公司管理的焦点和难点</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0D6DA4E3BADB40B29F3AE687F0BA6F1E</vt:lpwstr>
  </property>
</Properties>
</file>