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5000" w:type="pct"/>
        <w:jc w:val="center"/>
        <w:tblCellSpacing w:w="7" w:type="dxa"/>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Layout w:type="autofit"/>
        <w:tblCellMar>
          <w:top w:w="15" w:type="dxa"/>
          <w:left w:w="15" w:type="dxa"/>
          <w:bottom w:w="15" w:type="dxa"/>
          <w:right w:w="15" w:type="dxa"/>
        </w:tblCellMar>
      </w:tblPr>
      <w:tblGrid>
        <w:gridCol w:w="2072"/>
        <w:gridCol w:w="6322"/>
      </w:tblGrid>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rHeight w:val="465" w:hRule="atLeast"/>
          <w:tblCellSpacing w:w="7" w:type="dxa"/>
          <w:jc w:val="center"/>
        </w:trPr>
        <w:tc>
          <w:tcPr>
            <w:tcW w:w="1222" w:type="pct"/>
            <w:tcBorders>
              <w:top w:val="outset" w:color="EFEFEF" w:sz="6" w:space="0"/>
              <w:left w:val="outset" w:color="EFEFEF" w:sz="6" w:space="0"/>
              <w:bottom w:val="outset" w:color="EFEFEF" w:sz="6" w:space="0"/>
              <w:right w:val="outset" w:color="EFEFEF" w:sz="6" w:space="0"/>
            </w:tcBorders>
            <w:shd w:val="clear" w:color="auto" w:fill="F9F9F9"/>
            <w:vAlign w:val="center"/>
          </w:tcPr>
          <w:p>
            <w:pPr>
              <w:spacing w:line="335" w:lineRule="atLeast"/>
              <w:jc w:val="center"/>
              <w:rPr>
                <w:rFonts w:ascii="Arial" w:hAnsi="Arial" w:cs="Arial"/>
                <w:color w:val="4F4F4F"/>
                <w:sz w:val="20"/>
                <w:szCs w:val="20"/>
              </w:rPr>
            </w:pPr>
            <w:r>
              <w:rPr>
                <w:rFonts w:hint="eastAsia" w:ascii="Arial" w:hAnsi="Arial" w:cs="Arial"/>
                <w:color w:val="4F4F4F"/>
                <w:sz w:val="20"/>
                <w:szCs w:val="20"/>
              </w:rPr>
              <w:t>讲座</w:t>
            </w:r>
            <w:r>
              <w:rPr>
                <w:rFonts w:ascii="Arial" w:hAnsi="Arial" w:cs="Arial"/>
                <w:color w:val="4F4F4F"/>
                <w:sz w:val="20"/>
                <w:szCs w:val="20"/>
              </w:rPr>
              <w:t>名称：</w:t>
            </w:r>
          </w:p>
        </w:tc>
        <w:tc>
          <w:tcPr>
            <w:tcW w:w="3753" w:type="pct"/>
            <w:tcBorders>
              <w:top w:val="outset" w:color="EFEFEF" w:sz="6" w:space="0"/>
              <w:left w:val="outset" w:color="EFEFEF" w:sz="6" w:space="0"/>
              <w:bottom w:val="outset" w:color="EFEFEF" w:sz="6" w:space="0"/>
              <w:right w:val="outset" w:color="EFEFEF" w:sz="6" w:space="0"/>
            </w:tcBorders>
            <w:vAlign w:val="center"/>
          </w:tcPr>
          <w:p>
            <w:pPr>
              <w:pStyle w:val="2"/>
              <w:rPr>
                <w:color w:val="0000FF"/>
              </w:rPr>
            </w:pPr>
            <w:bookmarkStart w:id="0" w:name="_Toc511919783"/>
            <w:bookmarkStart w:id="1" w:name="_Toc351898934"/>
            <w:bookmarkStart w:id="2" w:name="_Toc351897956"/>
            <w:bookmarkStart w:id="3" w:name="_Toc351898852"/>
            <w:r>
              <w:rPr>
                <w:rFonts w:hint="eastAsia"/>
                <w:color w:val="0000FF"/>
              </w:rPr>
              <w:t>新加坡的成功转型给我们的借鉴</w:t>
            </w:r>
            <w:bookmarkEnd w:id="0"/>
            <w:bookmarkEnd w:id="1"/>
            <w:bookmarkEnd w:id="2"/>
            <w:bookmarkEnd w:id="3"/>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color w:val="4F4F4F"/>
                <w:sz w:val="20"/>
                <w:szCs w:val="20"/>
              </w:rPr>
            </w:pPr>
            <w:r>
              <w:rPr>
                <w:rFonts w:hint="eastAsia" w:ascii="Arial" w:hAnsi="Arial" w:cs="Arial"/>
                <w:color w:val="4F4F4F"/>
                <w:sz w:val="20"/>
                <w:szCs w:val="20"/>
              </w:rPr>
              <w:t>讲座</w:t>
            </w:r>
            <w:r>
              <w:rPr>
                <w:rFonts w:ascii="Arial" w:hAnsi="Arial" w:cs="Arial"/>
                <w:color w:val="4F4F4F"/>
                <w:sz w:val="20"/>
                <w:szCs w:val="20"/>
              </w:rPr>
              <w:t>对象：</w:t>
            </w:r>
          </w:p>
        </w:tc>
        <w:tc>
          <w:tcPr>
            <w:tcW w:w="3753"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color w:val="4F4F4F"/>
                <w:sz w:val="20"/>
                <w:szCs w:val="20"/>
              </w:rPr>
            </w:pPr>
            <w:r>
              <w:rPr>
                <w:rFonts w:hint="eastAsia" w:ascii="Arial" w:hAnsi="Arial" w:cs="Arial"/>
                <w:color w:val="4F4F4F"/>
                <w:sz w:val="20"/>
                <w:szCs w:val="20"/>
              </w:rPr>
              <w:t>公司决策层</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color w:val="4F4F4F"/>
                <w:sz w:val="20"/>
                <w:szCs w:val="20"/>
              </w:rPr>
            </w:pPr>
            <w:r>
              <w:rPr>
                <w:rFonts w:hint="eastAsia" w:ascii="Arial" w:hAnsi="Arial" w:cs="Arial"/>
                <w:color w:val="4F4F4F"/>
                <w:sz w:val="20"/>
                <w:szCs w:val="20"/>
              </w:rPr>
              <w:t>讲座</w:t>
            </w:r>
            <w:r>
              <w:rPr>
                <w:rFonts w:ascii="Arial" w:hAnsi="Arial" w:cs="Arial"/>
                <w:color w:val="4F4F4F"/>
                <w:sz w:val="20"/>
                <w:szCs w:val="20"/>
              </w:rPr>
              <w:t>目标：</w:t>
            </w:r>
          </w:p>
        </w:tc>
        <w:tc>
          <w:tcPr>
            <w:tcW w:w="3753" w:type="pct"/>
            <w:tcBorders>
              <w:top w:val="outset" w:color="EFEFEF" w:sz="6" w:space="0"/>
              <w:left w:val="outset" w:color="EFEFEF" w:sz="6" w:space="0"/>
              <w:bottom w:val="outset" w:color="EFEFEF" w:sz="6" w:space="0"/>
              <w:right w:val="outset" w:color="EFEFEF" w:sz="6" w:space="0"/>
            </w:tcBorders>
            <w:vAlign w:val="center"/>
          </w:tcPr>
          <w:p>
            <w:pPr>
              <w:rPr>
                <w:rFonts w:ascii="宋体" w:hAnsi="宋体"/>
                <w:sz w:val="20"/>
                <w:szCs w:val="20"/>
              </w:rPr>
            </w:pPr>
            <w:r>
              <w:rPr>
                <w:rFonts w:hint="eastAsia" w:ascii="宋体" w:hAnsi="宋体"/>
                <w:sz w:val="20"/>
                <w:szCs w:val="20"/>
              </w:rPr>
              <w:t>现在中国的社会正在进入转型期，即从以制造代工业为代表的</w:t>
            </w:r>
            <w:r>
              <w:rPr>
                <w:rFonts w:hint="eastAsia" w:ascii="宋体" w:hAnsi="宋体"/>
                <w:b/>
                <w:color w:val="0000FF"/>
                <w:sz w:val="20"/>
                <w:szCs w:val="20"/>
              </w:rPr>
              <w:t>劳力密集型</w:t>
            </w:r>
            <w:r>
              <w:rPr>
                <w:rFonts w:hint="eastAsia" w:ascii="宋体" w:hAnsi="宋体"/>
                <w:sz w:val="20"/>
                <w:szCs w:val="20"/>
              </w:rPr>
              <w:t>转向以研发自成体系的、自我创新的、自主品牌的</w:t>
            </w:r>
            <w:r>
              <w:rPr>
                <w:rFonts w:hint="eastAsia" w:ascii="宋体" w:hAnsi="宋体"/>
                <w:b/>
                <w:color w:val="0000FF"/>
                <w:sz w:val="20"/>
                <w:szCs w:val="20"/>
              </w:rPr>
              <w:t>技术密集型</w:t>
            </w:r>
            <w:r>
              <w:rPr>
                <w:rFonts w:hint="eastAsia" w:ascii="宋体" w:hAnsi="宋体"/>
                <w:sz w:val="20"/>
                <w:szCs w:val="20"/>
              </w:rPr>
              <w:t>企业模式发展。从2012年春节后沿海城市如深圳、东莞等地发生的用工荒以及在用工成本上升的压力下，一些台湾、韩国中小型制造企业撤离中国，以及以富士康为代表的大型制造企业向内地转移的现象，就足以说明中国正处在社会转型的变革之中。</w:t>
            </w:r>
          </w:p>
          <w:p>
            <w:pPr>
              <w:rPr>
                <w:rFonts w:ascii="宋体" w:hAnsi="宋体"/>
                <w:sz w:val="20"/>
                <w:szCs w:val="20"/>
              </w:rPr>
            </w:pPr>
          </w:p>
          <w:p>
            <w:pPr>
              <w:rPr>
                <w:rFonts w:ascii="宋体" w:hAnsi="宋体"/>
                <w:sz w:val="20"/>
                <w:szCs w:val="20"/>
              </w:rPr>
            </w:pPr>
            <w:r>
              <w:rPr>
                <w:rFonts w:hint="eastAsia" w:ascii="宋体" w:hAnsi="宋体"/>
                <w:sz w:val="20"/>
                <w:szCs w:val="20"/>
              </w:rPr>
              <w:t>在这个新形势下，我们面对的机遇与挑战是什么？如何掌握应对挑战的关键以及如何抓住新出现的机遇？放眼世界，有什么我们可以借鉴的经验？这是每一个公司的决策层排在议事日程中的首要问题之一。</w:t>
            </w:r>
          </w:p>
          <w:p>
            <w:pPr>
              <w:rPr>
                <w:rFonts w:ascii="宋体" w:hAnsi="宋体"/>
                <w:sz w:val="20"/>
                <w:szCs w:val="20"/>
              </w:rPr>
            </w:pPr>
          </w:p>
          <w:p>
            <w:pPr>
              <w:rPr>
                <w:rFonts w:ascii="宋体" w:hAnsi="宋体"/>
                <w:sz w:val="20"/>
                <w:szCs w:val="20"/>
              </w:rPr>
            </w:pPr>
            <w:r>
              <w:rPr>
                <w:rFonts w:hint="eastAsia" w:ascii="宋体" w:hAnsi="宋体"/>
                <w:sz w:val="20"/>
                <w:szCs w:val="20"/>
              </w:rPr>
              <w:t>新加坡是在亚洲除日本以外的另一个进入发达国家的成功典型，她在短短的46年中，从一无所有的新生发展中国家，到令世界瞩目的发达国家，向我们展示了一个成功、清晰的发展、进化之路。我自1992年旅居新加坡，到今年已经整整20年了，亲身经历与见证了新加坡的发展。加上我本身又是做企业管理培训工作的，很乐意从人才的培养方面，给大家分享一下新加坡在各个转型的关键阶段如何提升人才的素质与技能，从而顺利渡过转型期，进入下一个阶段。这样的宝贵经验，对中国社会今天的转型以及公司的决策，无疑是很有价值的和十分重要的。</w:t>
            </w:r>
          </w:p>
          <w:p>
            <w:pPr>
              <w:rPr>
                <w:rFonts w:ascii="宋体" w:hAnsi="宋体"/>
                <w:sz w:val="20"/>
                <w:szCs w:val="20"/>
              </w:rPr>
            </w:pPr>
          </w:p>
          <w:p>
            <w:pPr>
              <w:rPr>
                <w:rFonts w:ascii="宋体" w:hAnsi="宋体"/>
                <w:sz w:val="21"/>
                <w:szCs w:val="21"/>
              </w:rPr>
            </w:pPr>
            <w:r>
              <w:rPr>
                <w:rFonts w:ascii="宋体" w:hAnsi="宋体" w:cs="Arial"/>
                <w:color w:val="000000"/>
                <w:sz w:val="20"/>
                <w:szCs w:val="20"/>
              </w:rPr>
              <w:t>现在中国城市化进程很快，正在大力发展城镇，加大社会主义新农村建设，很多偏远地方的小城市（县，镇）都鼓励就近办厂，很多加工厂都迁移过去，农民工选择就近择业，对一二线城市的用工造成很大压力，今年工人用工成本涨到3K,还是招不到人，对制造业产生很大压力，苏州就非常明显，转型升级的压力很大。 您觉得这对苏州HR有什么影响，或者说挑战和机遇是什么？还有对职业教育有什么影响？</w:t>
            </w:r>
          </w:p>
          <w:p>
            <w:pPr>
              <w:wordWrap w:val="0"/>
              <w:spacing w:line="335" w:lineRule="atLeast"/>
              <w:rPr>
                <w:rFonts w:ascii="Arial" w:hAnsi="Arial" w:cs="Arial"/>
                <w:color w:val="4F4F4F"/>
                <w:sz w:val="20"/>
                <w:szCs w:val="20"/>
              </w:rPr>
            </w:pP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color w:val="4F4F4F"/>
                <w:sz w:val="20"/>
                <w:szCs w:val="20"/>
              </w:rPr>
            </w:pPr>
            <w:r>
              <w:rPr>
                <w:rFonts w:hint="eastAsia" w:ascii="Arial" w:hAnsi="Arial" w:cs="Arial"/>
                <w:color w:val="4F4F4F"/>
                <w:sz w:val="20"/>
                <w:szCs w:val="20"/>
              </w:rPr>
              <w:t>讲座时间：</w:t>
            </w:r>
          </w:p>
        </w:tc>
        <w:tc>
          <w:tcPr>
            <w:tcW w:w="3753"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color w:val="4F4F4F"/>
                <w:sz w:val="20"/>
                <w:szCs w:val="20"/>
              </w:rPr>
            </w:pPr>
            <w:r>
              <w:rPr>
                <w:rFonts w:hint="eastAsia" w:ascii="Arial" w:hAnsi="Arial" w:cs="Arial"/>
                <w:color w:val="4F4F4F"/>
                <w:sz w:val="20"/>
                <w:szCs w:val="20"/>
              </w:rPr>
              <w:t xml:space="preserve">半天 </w:t>
            </w:r>
            <w:r>
              <w:rPr>
                <w:rFonts w:ascii="Arial" w:hAnsi="Arial" w:cs="Arial"/>
                <w:color w:val="4F4F4F"/>
                <w:sz w:val="20"/>
                <w:szCs w:val="20"/>
              </w:rPr>
              <w:t>–</w:t>
            </w:r>
            <w:r>
              <w:rPr>
                <w:rFonts w:hint="eastAsia" w:ascii="Arial" w:hAnsi="Arial" w:cs="Arial"/>
                <w:color w:val="4F4F4F"/>
                <w:sz w:val="20"/>
                <w:szCs w:val="20"/>
              </w:rPr>
              <w:t xml:space="preserve"> 以座谈或讲座的形式和公司高层学员探讨我们公司应该如何未雨绸缪，积极应对中国的转型</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color w:val="4F4F4F"/>
                <w:sz w:val="20"/>
                <w:szCs w:val="20"/>
              </w:rPr>
            </w:pPr>
            <w:r>
              <w:rPr>
                <w:rFonts w:hint="eastAsia" w:ascii="Arial" w:hAnsi="Arial" w:cs="Arial"/>
                <w:color w:val="4F4F4F"/>
                <w:sz w:val="20"/>
                <w:szCs w:val="20"/>
              </w:rPr>
              <w:t>讲座</w:t>
            </w:r>
            <w:r>
              <w:rPr>
                <w:rFonts w:ascii="Arial" w:hAnsi="Arial" w:cs="Arial"/>
                <w:color w:val="4F4F4F"/>
                <w:sz w:val="20"/>
                <w:szCs w:val="20"/>
              </w:rPr>
              <w:t>大纲：</w:t>
            </w:r>
          </w:p>
        </w:tc>
        <w:tc>
          <w:tcPr>
            <w:tcW w:w="3753" w:type="pct"/>
            <w:tcBorders>
              <w:top w:val="outset" w:color="EFEFEF" w:sz="6" w:space="0"/>
              <w:left w:val="outset" w:color="EFEFEF" w:sz="6" w:space="0"/>
              <w:bottom w:val="outset" w:color="EFEFEF" w:sz="6" w:space="0"/>
              <w:right w:val="outset" w:color="EFEFEF" w:sz="6" w:space="0"/>
            </w:tcBorders>
            <w:vAlign w:val="center"/>
          </w:tcPr>
          <w:p>
            <w:pPr>
              <w:rPr>
                <w:b/>
                <w:sz w:val="20"/>
                <w:szCs w:val="20"/>
              </w:rPr>
            </w:pPr>
            <w:r>
              <w:rPr>
                <w:rFonts w:hint="eastAsia"/>
                <w:b/>
                <w:sz w:val="20"/>
                <w:szCs w:val="20"/>
              </w:rPr>
              <w:t>讲座大纲</w:t>
            </w:r>
          </w:p>
          <w:p>
            <w:pPr>
              <w:rPr>
                <w:sz w:val="20"/>
                <w:szCs w:val="20"/>
              </w:rPr>
            </w:pPr>
          </w:p>
          <w:p>
            <w:pPr>
              <w:numPr>
                <w:ilvl w:val="0"/>
                <w:numId w:val="1"/>
              </w:numPr>
              <w:rPr>
                <w:sz w:val="20"/>
                <w:szCs w:val="20"/>
              </w:rPr>
            </w:pPr>
            <w:r>
              <w:rPr>
                <w:rFonts w:hint="eastAsia"/>
                <w:sz w:val="20"/>
                <w:szCs w:val="20"/>
              </w:rPr>
              <w:t>新加坡社会转型的阶段</w:t>
            </w:r>
          </w:p>
          <w:p>
            <w:pPr>
              <w:numPr>
                <w:ilvl w:val="1"/>
                <w:numId w:val="1"/>
              </w:numPr>
              <w:rPr>
                <w:sz w:val="20"/>
                <w:szCs w:val="20"/>
              </w:rPr>
            </w:pPr>
            <w:r>
              <w:rPr>
                <w:rFonts w:hint="eastAsia"/>
                <w:sz w:val="20"/>
                <w:szCs w:val="20"/>
              </w:rPr>
              <w:t>劳力密集型</w:t>
            </w:r>
            <w:r>
              <w:rPr>
                <w:sz w:val="20"/>
                <w:szCs w:val="20"/>
              </w:rPr>
              <w:t xml:space="preserve"> – </w:t>
            </w:r>
            <w:r>
              <w:rPr>
                <w:rFonts w:hint="eastAsia"/>
                <w:sz w:val="20"/>
                <w:szCs w:val="20"/>
              </w:rPr>
              <w:t>新加坡建国的初始社会形态</w:t>
            </w:r>
          </w:p>
          <w:p>
            <w:pPr>
              <w:numPr>
                <w:ilvl w:val="2"/>
                <w:numId w:val="1"/>
              </w:numPr>
              <w:rPr>
                <w:sz w:val="20"/>
                <w:szCs w:val="20"/>
              </w:rPr>
            </w:pPr>
            <w:r>
              <w:rPr>
                <w:rFonts w:hint="eastAsia"/>
                <w:sz w:val="20"/>
                <w:szCs w:val="20"/>
              </w:rPr>
              <w:t>特征与优点</w:t>
            </w:r>
          </w:p>
          <w:p>
            <w:pPr>
              <w:numPr>
                <w:ilvl w:val="2"/>
                <w:numId w:val="1"/>
              </w:numPr>
              <w:rPr>
                <w:sz w:val="20"/>
                <w:szCs w:val="20"/>
              </w:rPr>
            </w:pPr>
            <w:r>
              <w:rPr>
                <w:rFonts w:hint="eastAsia"/>
                <w:sz w:val="20"/>
                <w:szCs w:val="20"/>
              </w:rPr>
              <w:t xml:space="preserve">缺点 </w:t>
            </w:r>
            <w:r>
              <w:rPr>
                <w:sz w:val="20"/>
                <w:szCs w:val="20"/>
              </w:rPr>
              <w:t>–</w:t>
            </w:r>
            <w:r>
              <w:rPr>
                <w:rFonts w:hint="eastAsia"/>
                <w:sz w:val="20"/>
                <w:szCs w:val="20"/>
              </w:rPr>
              <w:t xml:space="preserve"> 以60美元的耐克鞋为例</w:t>
            </w:r>
          </w:p>
          <w:p>
            <w:pPr>
              <w:numPr>
                <w:ilvl w:val="2"/>
                <w:numId w:val="1"/>
              </w:numPr>
              <w:rPr>
                <w:sz w:val="20"/>
                <w:szCs w:val="20"/>
              </w:rPr>
            </w:pPr>
            <w:r>
              <w:rPr>
                <w:rFonts w:hint="eastAsia"/>
                <w:sz w:val="20"/>
                <w:szCs w:val="20"/>
              </w:rPr>
              <w:t>政府措施</w:t>
            </w:r>
          </w:p>
          <w:p>
            <w:pPr>
              <w:ind w:left="1980"/>
              <w:rPr>
                <w:sz w:val="20"/>
                <w:szCs w:val="20"/>
              </w:rPr>
            </w:pPr>
          </w:p>
          <w:p>
            <w:pPr>
              <w:numPr>
                <w:ilvl w:val="1"/>
                <w:numId w:val="1"/>
              </w:numPr>
              <w:rPr>
                <w:sz w:val="20"/>
                <w:szCs w:val="20"/>
              </w:rPr>
            </w:pPr>
            <w:r>
              <w:rPr>
                <w:rFonts w:hint="eastAsia"/>
                <w:sz w:val="20"/>
                <w:szCs w:val="20"/>
              </w:rPr>
              <w:t>技术密集型</w:t>
            </w:r>
          </w:p>
          <w:p>
            <w:pPr>
              <w:numPr>
                <w:ilvl w:val="2"/>
                <w:numId w:val="1"/>
              </w:numPr>
              <w:rPr>
                <w:sz w:val="20"/>
                <w:szCs w:val="20"/>
              </w:rPr>
            </w:pPr>
            <w:bookmarkStart w:id="4" w:name="OLE_LINK1"/>
            <w:bookmarkStart w:id="5" w:name="OLE_LINK2"/>
            <w:r>
              <w:rPr>
                <w:rFonts w:hint="eastAsia"/>
                <w:sz w:val="20"/>
                <w:szCs w:val="20"/>
              </w:rPr>
              <w:t>转型缘由/背景</w:t>
            </w:r>
          </w:p>
          <w:p>
            <w:pPr>
              <w:numPr>
                <w:ilvl w:val="3"/>
                <w:numId w:val="1"/>
              </w:numPr>
              <w:rPr>
                <w:sz w:val="20"/>
                <w:szCs w:val="20"/>
              </w:rPr>
            </w:pPr>
            <w:r>
              <w:rPr>
                <w:rFonts w:hint="eastAsia"/>
                <w:sz w:val="20"/>
                <w:szCs w:val="20"/>
              </w:rPr>
              <w:t>国内人工成本上升</w:t>
            </w:r>
          </w:p>
          <w:p>
            <w:pPr>
              <w:numPr>
                <w:ilvl w:val="3"/>
                <w:numId w:val="1"/>
              </w:numPr>
              <w:rPr>
                <w:sz w:val="20"/>
                <w:szCs w:val="20"/>
              </w:rPr>
            </w:pPr>
            <w:r>
              <w:rPr>
                <w:rFonts w:hint="eastAsia"/>
                <w:sz w:val="20"/>
                <w:szCs w:val="20"/>
              </w:rPr>
              <w:t>民工回乡后原地创业</w:t>
            </w:r>
          </w:p>
          <w:p>
            <w:pPr>
              <w:numPr>
                <w:ilvl w:val="2"/>
                <w:numId w:val="1"/>
              </w:numPr>
              <w:rPr>
                <w:sz w:val="20"/>
                <w:szCs w:val="20"/>
              </w:rPr>
            </w:pPr>
            <w:r>
              <w:rPr>
                <w:rFonts w:hint="eastAsia"/>
                <w:sz w:val="20"/>
                <w:szCs w:val="20"/>
              </w:rPr>
              <w:t>政府措施</w:t>
            </w:r>
          </w:p>
          <w:p>
            <w:pPr>
              <w:ind w:left="1980"/>
              <w:rPr>
                <w:sz w:val="20"/>
                <w:szCs w:val="20"/>
              </w:rPr>
            </w:pPr>
          </w:p>
          <w:bookmarkEnd w:id="4"/>
          <w:bookmarkEnd w:id="5"/>
          <w:p>
            <w:pPr>
              <w:numPr>
                <w:ilvl w:val="1"/>
                <w:numId w:val="1"/>
              </w:numPr>
              <w:rPr>
                <w:sz w:val="20"/>
                <w:szCs w:val="20"/>
              </w:rPr>
            </w:pPr>
            <w:r>
              <w:rPr>
                <w:rFonts w:hint="eastAsia"/>
                <w:sz w:val="20"/>
                <w:szCs w:val="20"/>
              </w:rPr>
              <w:t>资本密集型</w:t>
            </w:r>
          </w:p>
          <w:p>
            <w:pPr>
              <w:numPr>
                <w:ilvl w:val="2"/>
                <w:numId w:val="1"/>
              </w:numPr>
              <w:rPr>
                <w:sz w:val="20"/>
                <w:szCs w:val="20"/>
              </w:rPr>
            </w:pPr>
            <w:r>
              <w:rPr>
                <w:rFonts w:hint="eastAsia"/>
                <w:sz w:val="20"/>
                <w:szCs w:val="20"/>
              </w:rPr>
              <w:t>转型缘由/背景</w:t>
            </w:r>
          </w:p>
          <w:p>
            <w:pPr>
              <w:numPr>
                <w:ilvl w:val="2"/>
                <w:numId w:val="1"/>
              </w:numPr>
              <w:rPr>
                <w:sz w:val="20"/>
                <w:szCs w:val="20"/>
              </w:rPr>
            </w:pPr>
            <w:r>
              <w:rPr>
                <w:rFonts w:hint="eastAsia"/>
                <w:sz w:val="20"/>
                <w:szCs w:val="20"/>
              </w:rPr>
              <w:t>政府措施</w:t>
            </w:r>
          </w:p>
          <w:p>
            <w:pPr>
              <w:numPr>
                <w:ilvl w:val="2"/>
                <w:numId w:val="1"/>
              </w:numPr>
              <w:rPr>
                <w:sz w:val="20"/>
                <w:szCs w:val="20"/>
              </w:rPr>
            </w:pPr>
            <w:r>
              <w:rPr>
                <w:rFonts w:hint="eastAsia"/>
                <w:sz w:val="20"/>
                <w:szCs w:val="20"/>
              </w:rPr>
              <w:t>成果</w:t>
            </w:r>
          </w:p>
          <w:p>
            <w:pPr>
              <w:ind w:left="1980"/>
              <w:rPr>
                <w:sz w:val="20"/>
                <w:szCs w:val="20"/>
              </w:rPr>
            </w:pPr>
          </w:p>
          <w:p>
            <w:pPr>
              <w:numPr>
                <w:ilvl w:val="1"/>
                <w:numId w:val="1"/>
              </w:numPr>
              <w:rPr>
                <w:sz w:val="20"/>
                <w:szCs w:val="20"/>
              </w:rPr>
            </w:pPr>
            <w:r>
              <w:rPr>
                <w:rFonts w:hint="eastAsia"/>
                <w:sz w:val="20"/>
                <w:szCs w:val="20"/>
              </w:rPr>
              <w:t>信息密集型，管理输出</w:t>
            </w:r>
          </w:p>
          <w:p>
            <w:pPr>
              <w:numPr>
                <w:ilvl w:val="2"/>
                <w:numId w:val="1"/>
              </w:numPr>
              <w:rPr>
                <w:sz w:val="20"/>
                <w:szCs w:val="20"/>
              </w:rPr>
            </w:pPr>
            <w:r>
              <w:rPr>
                <w:rFonts w:hint="eastAsia"/>
                <w:sz w:val="20"/>
                <w:szCs w:val="20"/>
              </w:rPr>
              <w:t>工业园的启发</w:t>
            </w:r>
          </w:p>
          <w:p>
            <w:pPr>
              <w:numPr>
                <w:ilvl w:val="2"/>
                <w:numId w:val="1"/>
              </w:numPr>
              <w:rPr>
                <w:sz w:val="20"/>
                <w:szCs w:val="20"/>
              </w:rPr>
            </w:pPr>
            <w:r>
              <w:rPr>
                <w:rFonts w:hint="eastAsia"/>
                <w:sz w:val="20"/>
                <w:szCs w:val="20"/>
              </w:rPr>
              <w:t>晋身发达国家</w:t>
            </w:r>
          </w:p>
          <w:p>
            <w:pPr>
              <w:ind w:left="1980"/>
              <w:rPr>
                <w:sz w:val="20"/>
                <w:szCs w:val="20"/>
              </w:rPr>
            </w:pPr>
          </w:p>
          <w:p>
            <w:pPr>
              <w:numPr>
                <w:ilvl w:val="0"/>
                <w:numId w:val="1"/>
              </w:numPr>
              <w:rPr>
                <w:sz w:val="20"/>
                <w:szCs w:val="20"/>
              </w:rPr>
            </w:pPr>
            <w:r>
              <w:rPr>
                <w:rFonts w:hint="eastAsia"/>
                <w:sz w:val="20"/>
                <w:szCs w:val="20"/>
              </w:rPr>
              <w:t>各个转型阶段的战略措施总结</w:t>
            </w:r>
          </w:p>
          <w:p>
            <w:pPr>
              <w:numPr>
                <w:ilvl w:val="1"/>
                <w:numId w:val="1"/>
              </w:numPr>
              <w:rPr>
                <w:sz w:val="20"/>
                <w:szCs w:val="20"/>
              </w:rPr>
            </w:pPr>
            <w:r>
              <w:rPr>
                <w:rFonts w:hint="eastAsia"/>
                <w:sz w:val="20"/>
                <w:szCs w:val="20"/>
              </w:rPr>
              <w:t>举例：对应2001年的全球经济危机，新加坡政府的应对</w:t>
            </w:r>
          </w:p>
          <w:p>
            <w:pPr>
              <w:numPr>
                <w:ilvl w:val="1"/>
                <w:numId w:val="1"/>
              </w:numPr>
              <w:rPr>
                <w:sz w:val="20"/>
                <w:szCs w:val="20"/>
              </w:rPr>
            </w:pPr>
            <w:r>
              <w:rPr>
                <w:rFonts w:hint="eastAsia"/>
                <w:sz w:val="20"/>
                <w:szCs w:val="20"/>
              </w:rPr>
              <w:t>我们能学习和借鉴到什么？</w:t>
            </w:r>
          </w:p>
          <w:p>
            <w:pPr>
              <w:numPr>
                <w:ilvl w:val="1"/>
                <w:numId w:val="1"/>
              </w:numPr>
              <w:rPr>
                <w:sz w:val="20"/>
                <w:szCs w:val="20"/>
              </w:rPr>
            </w:pPr>
            <w:r>
              <w:rPr>
                <w:rFonts w:hint="eastAsia"/>
                <w:sz w:val="20"/>
                <w:szCs w:val="20"/>
              </w:rPr>
              <w:t>中国社会转型的三部曲</w:t>
            </w:r>
          </w:p>
          <w:p>
            <w:pPr>
              <w:numPr>
                <w:ilvl w:val="1"/>
                <w:numId w:val="1"/>
              </w:numPr>
              <w:rPr>
                <w:sz w:val="20"/>
                <w:szCs w:val="20"/>
              </w:rPr>
            </w:pPr>
            <w:r>
              <w:rPr>
                <w:rFonts w:hint="eastAsia"/>
                <w:sz w:val="20"/>
                <w:szCs w:val="20"/>
              </w:rPr>
              <w:t>在转型期，公司最需要什么</w:t>
            </w:r>
          </w:p>
          <w:p>
            <w:pPr>
              <w:numPr>
                <w:ilvl w:val="1"/>
                <w:numId w:val="1"/>
              </w:numPr>
              <w:rPr>
                <w:sz w:val="20"/>
                <w:szCs w:val="20"/>
              </w:rPr>
            </w:pPr>
            <w:r>
              <w:rPr>
                <w:rFonts w:hint="eastAsia"/>
                <w:sz w:val="20"/>
                <w:szCs w:val="20"/>
              </w:rPr>
              <w:t>国外发达国家的人才培养架构：</w:t>
            </w:r>
          </w:p>
          <w:p>
            <w:pPr>
              <w:numPr>
                <w:ilvl w:val="2"/>
                <w:numId w:val="1"/>
              </w:numPr>
              <w:rPr>
                <w:sz w:val="20"/>
                <w:szCs w:val="20"/>
              </w:rPr>
            </w:pPr>
            <w:r>
              <w:rPr>
                <w:rFonts w:hint="eastAsia"/>
                <w:sz w:val="20"/>
                <w:szCs w:val="20"/>
              </w:rPr>
              <w:t>如何提升个人素质</w:t>
            </w:r>
          </w:p>
          <w:p>
            <w:pPr>
              <w:numPr>
                <w:ilvl w:val="2"/>
                <w:numId w:val="1"/>
              </w:numPr>
              <w:rPr>
                <w:sz w:val="20"/>
                <w:szCs w:val="20"/>
              </w:rPr>
            </w:pPr>
            <w:r>
              <w:rPr>
                <w:rFonts w:hint="eastAsia"/>
                <w:sz w:val="20"/>
                <w:szCs w:val="20"/>
              </w:rPr>
              <w:t>如何建立团队运作的规范</w:t>
            </w:r>
          </w:p>
          <w:p>
            <w:pPr>
              <w:numPr>
                <w:ilvl w:val="2"/>
                <w:numId w:val="1"/>
              </w:numPr>
              <w:rPr>
                <w:sz w:val="20"/>
                <w:szCs w:val="20"/>
              </w:rPr>
            </w:pPr>
            <w:r>
              <w:rPr>
                <w:rFonts w:hint="eastAsia"/>
                <w:sz w:val="20"/>
                <w:szCs w:val="20"/>
              </w:rPr>
              <w:t xml:space="preserve">如何提升竞争力 </w:t>
            </w:r>
            <w:r>
              <w:rPr>
                <w:sz w:val="20"/>
                <w:szCs w:val="20"/>
              </w:rPr>
              <w:t>–</w:t>
            </w:r>
            <w:r>
              <w:rPr>
                <w:rFonts w:hint="eastAsia"/>
                <w:sz w:val="20"/>
                <w:szCs w:val="20"/>
              </w:rPr>
              <w:t xml:space="preserve"> 什么叫狼性？</w:t>
            </w:r>
          </w:p>
          <w:p>
            <w:pPr>
              <w:numPr>
                <w:ilvl w:val="1"/>
                <w:numId w:val="1"/>
              </w:numPr>
              <w:rPr>
                <w:sz w:val="20"/>
                <w:szCs w:val="20"/>
              </w:rPr>
            </w:pPr>
            <w:r>
              <w:rPr>
                <w:rFonts w:hint="eastAsia"/>
                <w:sz w:val="20"/>
                <w:szCs w:val="20"/>
              </w:rPr>
              <w:t>从人类社会发展的过程看中国特色的社会主义 - 我们现在在做什么？我们应该如何抓住机遇？</w:t>
            </w:r>
          </w:p>
          <w:p>
            <w:pPr>
              <w:numPr>
                <w:ilvl w:val="0"/>
                <w:numId w:val="1"/>
              </w:numPr>
              <w:rPr>
                <w:sz w:val="20"/>
                <w:szCs w:val="20"/>
              </w:rPr>
            </w:pPr>
            <w:r>
              <w:rPr>
                <w:rFonts w:hint="eastAsia"/>
                <w:sz w:val="20"/>
                <w:szCs w:val="20"/>
              </w:rPr>
              <w:t>小结，问答</w:t>
            </w:r>
          </w:p>
        </w:tc>
      </w:tr>
      <w:tr>
        <w:tblPrEx>
          <w:tblBorders>
            <w:top w:val="outset" w:color="EFEFEF" w:sz="6" w:space="0"/>
            <w:left w:val="outset" w:color="EFEFEF" w:sz="6" w:space="0"/>
            <w:bottom w:val="outset" w:color="EFEFEF" w:sz="6" w:space="0"/>
            <w:right w:val="outset" w:color="EFEFEF" w:sz="6" w:space="0"/>
            <w:insideH w:val="none" w:color="auto" w:sz="0" w:space="0"/>
            <w:insideV w:val="none" w:color="auto" w:sz="0" w:space="0"/>
          </w:tblBorders>
          <w:tblCellMar>
            <w:top w:w="15" w:type="dxa"/>
            <w:left w:w="15" w:type="dxa"/>
            <w:bottom w:w="15" w:type="dxa"/>
            <w:right w:w="15" w:type="dxa"/>
          </w:tblCellMar>
        </w:tblPrEx>
        <w:trPr>
          <w:tblCellSpacing w:w="7" w:type="dxa"/>
          <w:jc w:val="center"/>
        </w:trPr>
        <w:tc>
          <w:tcPr>
            <w:tcW w:w="0" w:type="auto"/>
            <w:tcBorders>
              <w:top w:val="outset" w:color="EFEFEF" w:sz="6" w:space="0"/>
              <w:left w:val="outset" w:color="EFEFEF" w:sz="6" w:space="0"/>
              <w:bottom w:val="outset" w:color="EFEFEF" w:sz="6" w:space="0"/>
              <w:right w:val="outset" w:color="EFEFEF" w:sz="6" w:space="0"/>
            </w:tcBorders>
            <w:shd w:val="clear" w:color="auto" w:fill="F9F9F9"/>
          </w:tcPr>
          <w:p>
            <w:pPr>
              <w:spacing w:line="335" w:lineRule="atLeast"/>
              <w:jc w:val="center"/>
              <w:rPr>
                <w:rFonts w:ascii="Arial" w:hAnsi="Arial" w:cs="Arial"/>
                <w:color w:val="4F4F4F"/>
                <w:sz w:val="20"/>
                <w:szCs w:val="20"/>
              </w:rPr>
            </w:pPr>
          </w:p>
        </w:tc>
        <w:tc>
          <w:tcPr>
            <w:tcW w:w="3753" w:type="pct"/>
            <w:tcBorders>
              <w:top w:val="outset" w:color="EFEFEF" w:sz="6" w:space="0"/>
              <w:left w:val="outset" w:color="EFEFEF" w:sz="6" w:space="0"/>
              <w:bottom w:val="outset" w:color="EFEFEF" w:sz="6" w:space="0"/>
              <w:right w:val="outset" w:color="EFEFEF" w:sz="6" w:space="0"/>
            </w:tcBorders>
            <w:vAlign w:val="center"/>
          </w:tcPr>
          <w:p>
            <w:pPr>
              <w:wordWrap w:val="0"/>
              <w:spacing w:line="335" w:lineRule="atLeast"/>
              <w:rPr>
                <w:rFonts w:ascii="Arial" w:hAnsi="Arial" w:cs="Arial"/>
                <w:color w:val="4F4F4F"/>
                <w:sz w:val="20"/>
                <w:szCs w:val="20"/>
              </w:rPr>
            </w:pPr>
            <w:r>
              <w:rPr>
                <w:rFonts w:hint="eastAsia" w:ascii="Arial" w:hAnsi="Arial" w:cs="Arial"/>
                <w:color w:val="4F4F4F"/>
                <w:sz w:val="20"/>
                <w:szCs w:val="20"/>
              </w:rPr>
              <w:t xml:space="preserve">  结束</w:t>
            </w:r>
          </w:p>
        </w:tc>
      </w:tr>
    </w:tbl>
    <w:p>
      <w:bookmarkStart w:id="6" w:name="_GoBack"/>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A447AE"/>
    <w:multiLevelType w:val="multilevel"/>
    <w:tmpl w:val="3FA447AE"/>
    <w:lvl w:ilvl="0" w:tentative="0">
      <w:start w:val="1"/>
      <w:numFmt w:val="bullet"/>
      <w:lvlText w:val="o"/>
      <w:lvlJc w:val="left"/>
      <w:pPr>
        <w:tabs>
          <w:tab w:val="left" w:pos="1080"/>
        </w:tabs>
        <w:ind w:left="1080" w:hanging="360"/>
      </w:pPr>
      <w:rPr>
        <w:rFonts w:hint="default" w:ascii="Courier New" w:hAnsi="Courier New" w:cs="Courier New"/>
      </w:rPr>
    </w:lvl>
    <w:lvl w:ilvl="1" w:tentative="0">
      <w:start w:val="1"/>
      <w:numFmt w:val="bullet"/>
      <w:lvlText w:val="o"/>
      <w:lvlJc w:val="left"/>
      <w:pPr>
        <w:tabs>
          <w:tab w:val="left" w:pos="1800"/>
        </w:tabs>
        <w:ind w:left="1800" w:hanging="360"/>
      </w:pPr>
      <w:rPr>
        <w:rFonts w:hint="default" w:ascii="Courier New" w:hAnsi="Courier New" w:cs="Courier New"/>
      </w:rPr>
    </w:lvl>
    <w:lvl w:ilvl="2" w:tentative="0">
      <w:start w:val="1"/>
      <w:numFmt w:val="bullet"/>
      <w:lvlText w:val=""/>
      <w:lvlJc w:val="left"/>
      <w:pPr>
        <w:tabs>
          <w:tab w:val="left" w:pos="2520"/>
        </w:tabs>
        <w:ind w:left="2520" w:hanging="360"/>
      </w:pPr>
      <w:rPr>
        <w:rFonts w:hint="default" w:ascii="Wingdings" w:hAnsi="Wingdings"/>
      </w:rPr>
    </w:lvl>
    <w:lvl w:ilvl="3" w:tentative="0">
      <w:start w:val="1"/>
      <w:numFmt w:val="bullet"/>
      <w:lvlText w:val=""/>
      <w:lvlJc w:val="left"/>
      <w:pPr>
        <w:tabs>
          <w:tab w:val="left" w:pos="3240"/>
        </w:tabs>
        <w:ind w:left="3240" w:hanging="360"/>
      </w:pPr>
      <w:rPr>
        <w:rFonts w:hint="default" w:ascii="Symbol" w:hAnsi="Symbol"/>
      </w:rPr>
    </w:lvl>
    <w:lvl w:ilvl="4" w:tentative="0">
      <w:start w:val="1"/>
      <w:numFmt w:val="bullet"/>
      <w:lvlText w:val="o"/>
      <w:lvlJc w:val="left"/>
      <w:pPr>
        <w:tabs>
          <w:tab w:val="left" w:pos="3960"/>
        </w:tabs>
        <w:ind w:left="3960" w:hanging="360"/>
      </w:pPr>
      <w:rPr>
        <w:rFonts w:hint="default" w:ascii="Courier New" w:hAnsi="Courier New" w:cs="Courier New"/>
      </w:rPr>
    </w:lvl>
    <w:lvl w:ilvl="5" w:tentative="0">
      <w:start w:val="1"/>
      <w:numFmt w:val="bullet"/>
      <w:lvlText w:val=""/>
      <w:lvlJc w:val="left"/>
      <w:pPr>
        <w:tabs>
          <w:tab w:val="left" w:pos="4680"/>
        </w:tabs>
        <w:ind w:left="4680" w:hanging="360"/>
      </w:pPr>
      <w:rPr>
        <w:rFonts w:hint="default" w:ascii="Wingdings" w:hAnsi="Wingdings"/>
      </w:rPr>
    </w:lvl>
    <w:lvl w:ilvl="6" w:tentative="0">
      <w:start w:val="1"/>
      <w:numFmt w:val="bullet"/>
      <w:lvlText w:val=""/>
      <w:lvlJc w:val="left"/>
      <w:pPr>
        <w:tabs>
          <w:tab w:val="left" w:pos="5400"/>
        </w:tabs>
        <w:ind w:left="5400" w:hanging="360"/>
      </w:pPr>
      <w:rPr>
        <w:rFonts w:hint="default" w:ascii="Symbol" w:hAnsi="Symbol"/>
      </w:rPr>
    </w:lvl>
    <w:lvl w:ilvl="7" w:tentative="0">
      <w:start w:val="1"/>
      <w:numFmt w:val="bullet"/>
      <w:lvlText w:val="o"/>
      <w:lvlJc w:val="left"/>
      <w:pPr>
        <w:tabs>
          <w:tab w:val="left" w:pos="6120"/>
        </w:tabs>
        <w:ind w:left="6120" w:hanging="360"/>
      </w:pPr>
      <w:rPr>
        <w:rFonts w:hint="default" w:ascii="Courier New" w:hAnsi="Courier New" w:cs="Courier New"/>
      </w:rPr>
    </w:lvl>
    <w:lvl w:ilvl="8" w:tentative="0">
      <w:start w:val="1"/>
      <w:numFmt w:val="bullet"/>
      <w:lvlText w:val=""/>
      <w:lvlJc w:val="left"/>
      <w:pPr>
        <w:tabs>
          <w:tab w:val="left" w:pos="6840"/>
        </w:tabs>
        <w:ind w:left="6840" w:hanging="36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8902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paragraph" w:styleId="2">
    <w:name w:val="heading 1"/>
    <w:basedOn w:val="1"/>
    <w:next w:val="1"/>
    <w:qFormat/>
    <w:uiPriority w:val="0"/>
    <w:pPr>
      <w:keepNext/>
      <w:spacing w:before="240" w:after="60"/>
      <w:outlineLvl w:val="0"/>
    </w:pPr>
    <w:rPr>
      <w:rFonts w:ascii="Arial" w:hAnsi="Arial" w:cs="Arial"/>
      <w:b/>
      <w:bCs/>
      <w:kern w:val="32"/>
      <w:sz w:val="32"/>
      <w:szCs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2021-04-30T09:06:49Z</dcterms:created>
  <dc:creator>shizi06</dc:creator>
  <cp:lastModifiedBy>中国讲师网尹老师</cp:lastModifiedBy>
  <dcterms:modified xsi:type="dcterms:W3CDTF">2021-04-30T09:06:58Z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F5C0C2CF9DBD4418B335FD6244F6F49A</vt:lpwstr>
  </property>
</Properties>
</file>